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EF85" w14:textId="17075D04" w:rsidR="005B2D28" w:rsidRPr="005B2D28" w:rsidRDefault="005B2D28" w:rsidP="005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5B2D2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APPENDIX </w:t>
      </w:r>
      <w:r w:rsidR="005740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D</w:t>
      </w:r>
      <w:r w:rsidR="003D3EC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6</w:t>
      </w:r>
      <w:r w:rsidRPr="005B2D2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 </w:t>
      </w:r>
      <w:r w:rsidR="002466D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Optics </w:t>
      </w:r>
      <w:r w:rsidRPr="005B2D2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Division</w:t>
      </w:r>
      <w:r w:rsidR="005C271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5740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- </w:t>
      </w:r>
      <w:r w:rsidR="005C271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Pro</w:t>
      </w:r>
      <w:r w:rsidR="005740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visional 2024-2025</w:t>
      </w:r>
    </w:p>
    <w:p w14:paraId="59EE9828" w14:textId="77777777" w:rsidR="005B2D28" w:rsidRPr="005B2D28" w:rsidRDefault="005B2D28" w:rsidP="005B2D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1502461" w14:textId="77777777" w:rsidR="005B2D28" w:rsidRPr="005B2D28" w:rsidRDefault="005B2D28" w:rsidP="005B2D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5692"/>
        <w:gridCol w:w="3117"/>
      </w:tblGrid>
      <w:tr w:rsidR="005B2D28" w:rsidRPr="005B2D28" w14:paraId="266884C8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6A905BA7" w14:textId="77777777" w:rsidR="005B2D28" w:rsidRPr="005B2D28" w:rsidRDefault="005B2D28" w:rsidP="005B2D28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044" w:type="pct"/>
            <w:vAlign w:val="center"/>
          </w:tcPr>
          <w:p w14:paraId="3F18FB45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power factor for Major</w:t>
            </w:r>
          </w:p>
        </w:tc>
        <w:tc>
          <w:tcPr>
            <w:tcW w:w="1667" w:type="pct"/>
            <w:vAlign w:val="center"/>
          </w:tcPr>
          <w:p w14:paraId="3C6C6B98" w14:textId="05646AA8" w:rsidR="005B2D28" w:rsidRPr="005B2D28" w:rsidRDefault="009075F0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r w:rsidR="003D3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applicable</w:t>
            </w:r>
          </w:p>
        </w:tc>
      </w:tr>
      <w:tr w:rsidR="005B2D28" w:rsidRPr="005B2D28" w14:paraId="1A1FE431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12BAA8FA" w14:textId="77777777" w:rsidR="005B2D28" w:rsidRPr="005B2D28" w:rsidRDefault="005B2D28" w:rsidP="005B2D28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044" w:type="pct"/>
            <w:vAlign w:val="center"/>
          </w:tcPr>
          <w:p w14:paraId="1DF13AC4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power factor for Minor</w:t>
            </w:r>
          </w:p>
        </w:tc>
        <w:tc>
          <w:tcPr>
            <w:tcW w:w="1667" w:type="pct"/>
            <w:vAlign w:val="center"/>
          </w:tcPr>
          <w:p w14:paraId="4A6830AB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</w:tr>
      <w:tr w:rsidR="005B2D28" w:rsidRPr="005B2D28" w14:paraId="16E38320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5481FDFF" w14:textId="77777777" w:rsidR="005B2D28" w:rsidRPr="005B2D28" w:rsidRDefault="005B2D28" w:rsidP="005B2D28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044" w:type="pct"/>
            <w:vAlign w:val="center"/>
          </w:tcPr>
          <w:p w14:paraId="19FA0372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bullet weight</w:t>
            </w:r>
          </w:p>
        </w:tc>
        <w:tc>
          <w:tcPr>
            <w:tcW w:w="1667" w:type="pct"/>
            <w:vAlign w:val="center"/>
          </w:tcPr>
          <w:p w14:paraId="2762DDCB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5B2D28" w:rsidRPr="005B2D28" w14:paraId="161959B5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312A15F4" w14:textId="77777777" w:rsidR="005B2D28" w:rsidRPr="005B2D28" w:rsidRDefault="005B2D28" w:rsidP="005B2D28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044" w:type="pct"/>
            <w:vAlign w:val="center"/>
          </w:tcPr>
          <w:p w14:paraId="3698F560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bullet caliber / cartridge case length</w:t>
            </w:r>
          </w:p>
        </w:tc>
        <w:tc>
          <w:tcPr>
            <w:tcW w:w="1667" w:type="pct"/>
            <w:vAlign w:val="center"/>
          </w:tcPr>
          <w:p w14:paraId="250A4582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mm (0.354") / 19 mm (0.748")</w:t>
            </w:r>
          </w:p>
        </w:tc>
      </w:tr>
      <w:tr w:rsidR="005B2D28" w:rsidRPr="005B2D28" w14:paraId="0016A9B2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6593212F" w14:textId="77777777" w:rsidR="005B2D28" w:rsidRPr="005B2D28" w:rsidRDefault="005B2D28" w:rsidP="005B2D28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044" w:type="pct"/>
            <w:vAlign w:val="center"/>
          </w:tcPr>
          <w:p w14:paraId="586CFD43" w14:textId="77777777" w:rsidR="005B2D28" w:rsidRPr="005B2D28" w:rsidRDefault="005B2D28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bullet caliber for Major</w:t>
            </w:r>
          </w:p>
        </w:tc>
        <w:tc>
          <w:tcPr>
            <w:tcW w:w="1667" w:type="pct"/>
            <w:vAlign w:val="center"/>
          </w:tcPr>
          <w:p w14:paraId="683CD079" w14:textId="628016C5" w:rsidR="005B2D28" w:rsidRPr="005B2D28" w:rsidRDefault="009075F0" w:rsidP="005B2D2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applicable</w:t>
            </w:r>
          </w:p>
        </w:tc>
      </w:tr>
      <w:tr w:rsidR="005B2D28" w:rsidRPr="005B2D28" w14:paraId="1B370B32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0078CF2F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044" w:type="pct"/>
            <w:vAlign w:val="center"/>
          </w:tcPr>
          <w:p w14:paraId="35B0F66C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Minimum trigger pull (see Appendix E4a)</w:t>
            </w:r>
          </w:p>
        </w:tc>
        <w:tc>
          <w:tcPr>
            <w:tcW w:w="1667" w:type="pct"/>
            <w:vAlign w:val="center"/>
          </w:tcPr>
          <w:p w14:paraId="60EA6524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5B2D28" w:rsidRPr="005B2D28" w14:paraId="5A47F4DE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29B52CF8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044" w:type="pct"/>
            <w:vAlign w:val="center"/>
          </w:tcPr>
          <w:p w14:paraId="268AFB97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Maximum handgun size</w:t>
            </w:r>
          </w:p>
        </w:tc>
        <w:tc>
          <w:tcPr>
            <w:tcW w:w="1667" w:type="pct"/>
            <w:vAlign w:val="center"/>
          </w:tcPr>
          <w:p w14:paraId="3CE28CFF" w14:textId="134791E2" w:rsidR="005B2D28" w:rsidRPr="005B2D28" w:rsidRDefault="009075F0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5B2D28" w:rsidRPr="005B2D28" w14:paraId="67CFADA0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1589C783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3044" w:type="pct"/>
            <w:vAlign w:val="center"/>
          </w:tcPr>
          <w:p w14:paraId="61B79E6A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Maximum magazine length</w:t>
            </w:r>
          </w:p>
        </w:tc>
        <w:tc>
          <w:tcPr>
            <w:tcW w:w="1667" w:type="pct"/>
            <w:vAlign w:val="center"/>
          </w:tcPr>
          <w:p w14:paraId="5C4540B1" w14:textId="521CA6F5" w:rsidR="005B2D28" w:rsidRPr="005B2D28" w:rsidRDefault="00026569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141.25 mm / 17</w:t>
            </w:r>
            <w:r w:rsidR="00ED4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mm in single stack guns</w:t>
            </w:r>
            <w:r w:rsidR="005740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3D3E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see </w:t>
            </w:r>
            <w:r w:rsidR="005740E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Appendix E1)</w:t>
            </w:r>
          </w:p>
        </w:tc>
      </w:tr>
      <w:tr w:rsidR="005B2D28" w:rsidRPr="005B2D28" w14:paraId="09DBF683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2544BF79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044" w:type="pct"/>
            <w:vAlign w:val="center"/>
          </w:tcPr>
          <w:p w14:paraId="59725175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Maximum ammunition capacity</w:t>
            </w:r>
          </w:p>
        </w:tc>
        <w:tc>
          <w:tcPr>
            <w:tcW w:w="1667" w:type="pct"/>
            <w:vAlign w:val="center"/>
          </w:tcPr>
          <w:p w14:paraId="11ABE0CE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5B2D28" w:rsidRPr="005B2D28" w14:paraId="10926EAD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568CB17E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044" w:type="pct"/>
            <w:vAlign w:val="center"/>
          </w:tcPr>
          <w:p w14:paraId="6E820790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Max. distance of handgun and allied equipment from torso</w:t>
            </w:r>
          </w:p>
        </w:tc>
        <w:tc>
          <w:tcPr>
            <w:tcW w:w="1667" w:type="pct"/>
            <w:vAlign w:val="center"/>
          </w:tcPr>
          <w:p w14:paraId="0D690285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50 mm (see Rule 5.2.5)</w:t>
            </w:r>
          </w:p>
        </w:tc>
      </w:tr>
      <w:tr w:rsidR="005B2D28" w:rsidRPr="005B2D28" w14:paraId="77F3ED6A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5CACABD4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044" w:type="pct"/>
            <w:vAlign w:val="center"/>
          </w:tcPr>
          <w:p w14:paraId="6748BAB5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Rule 5.2.10 / Appendix E2 applies</w:t>
            </w:r>
          </w:p>
        </w:tc>
        <w:tc>
          <w:tcPr>
            <w:tcW w:w="1667" w:type="pct"/>
            <w:vAlign w:val="center"/>
          </w:tcPr>
          <w:p w14:paraId="6C2F91A9" w14:textId="4A954E85" w:rsidR="005B2D28" w:rsidRPr="005B2D28" w:rsidRDefault="009075F0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  <w:r w:rsidR="00F9366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, see below</w:t>
            </w:r>
          </w:p>
        </w:tc>
      </w:tr>
      <w:tr w:rsidR="005B2D28" w:rsidRPr="005B2D28" w14:paraId="4321B63D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63E7E06F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044" w:type="pct"/>
            <w:vAlign w:val="center"/>
          </w:tcPr>
          <w:p w14:paraId="5199F5F0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Optical/electronic sights</w:t>
            </w:r>
          </w:p>
        </w:tc>
        <w:tc>
          <w:tcPr>
            <w:tcW w:w="1667" w:type="pct"/>
            <w:vAlign w:val="center"/>
          </w:tcPr>
          <w:p w14:paraId="1A7CDC72" w14:textId="4C60988E" w:rsidR="005B2D28" w:rsidRPr="005B2D28" w:rsidRDefault="00FA1732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Mandatory, see below</w:t>
            </w:r>
          </w:p>
        </w:tc>
      </w:tr>
      <w:tr w:rsidR="005B2D28" w:rsidRPr="005B2D28" w14:paraId="6472BD59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7F591E2B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044" w:type="pct"/>
            <w:vAlign w:val="center"/>
          </w:tcPr>
          <w:p w14:paraId="18E759ED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Compensators, ports, sound and/or flash suppressors</w:t>
            </w:r>
          </w:p>
        </w:tc>
        <w:tc>
          <w:tcPr>
            <w:tcW w:w="1667" w:type="pct"/>
            <w:vAlign w:val="center"/>
          </w:tcPr>
          <w:p w14:paraId="7E7187C6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color w:val="000000"/>
                <w:kern w:val="0"/>
                <w:sz w:val="20"/>
                <w:szCs w:val="20"/>
                <w14:ligatures w14:val="none"/>
              </w:rPr>
              <w:t>No, see below</w:t>
            </w:r>
          </w:p>
        </w:tc>
      </w:tr>
      <w:tr w:rsidR="005B2D28" w:rsidRPr="005B2D28" w14:paraId="1BA8F391" w14:textId="77777777" w:rsidTr="0002010A">
        <w:trPr>
          <w:trHeight w:val="255"/>
          <w:jc w:val="center"/>
        </w:trPr>
        <w:tc>
          <w:tcPr>
            <w:tcW w:w="289" w:type="pct"/>
            <w:vAlign w:val="center"/>
          </w:tcPr>
          <w:p w14:paraId="20D6FA71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044" w:type="pct"/>
            <w:vAlign w:val="center"/>
          </w:tcPr>
          <w:p w14:paraId="7252853C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Weight(s) attached to barrel that extend beyond the muzzle</w:t>
            </w:r>
          </w:p>
        </w:tc>
        <w:tc>
          <w:tcPr>
            <w:tcW w:w="1667" w:type="pct"/>
            <w:vAlign w:val="center"/>
          </w:tcPr>
          <w:p w14:paraId="62CE33E0" w14:textId="77777777" w:rsidR="005B2D28" w:rsidRPr="005B2D28" w:rsidRDefault="005B2D28" w:rsidP="005B2D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kern w:val="0"/>
                <w:sz w:val="20"/>
                <w:szCs w:val="20"/>
                <w14:ligatures w14:val="none"/>
              </w:rPr>
            </w:pPr>
            <w:r w:rsidRPr="005B2D28">
              <w:rPr>
                <w:rFonts w:ascii="Times New Roman" w:eastAsia="Times New Roman" w:hAnsi="Times New Roman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</w:tbl>
    <w:p w14:paraId="3B94B753" w14:textId="77777777" w:rsidR="005B2D28" w:rsidRPr="005B2D28" w:rsidRDefault="005B2D28" w:rsidP="005B2D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349C717" w14:textId="77777777" w:rsidR="005B2D28" w:rsidRPr="005B2D28" w:rsidRDefault="005B2D28" w:rsidP="005B2D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14:ligatures w14:val="none"/>
        </w:rPr>
      </w:pPr>
      <w:r w:rsidRPr="005B2D2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14:ligatures w14:val="none"/>
        </w:rPr>
        <w:t>Special conditions:</w:t>
      </w:r>
    </w:p>
    <w:p w14:paraId="50679253" w14:textId="77777777" w:rsidR="005B2D28" w:rsidRPr="005B2D28" w:rsidRDefault="005B2D28" w:rsidP="005B2D28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strike/>
          <w:color w:val="000000"/>
          <w:kern w:val="0"/>
          <w:sz w:val="20"/>
          <w:szCs w:val="20"/>
          <w14:ligatures w14:val="none"/>
        </w:rPr>
      </w:pPr>
    </w:p>
    <w:p w14:paraId="73252D88" w14:textId="38AB4D09" w:rsidR="005B2D28" w:rsidRDefault="00F93668" w:rsidP="005B2D28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en-GB"/>
          <w14:ligatures w14:val="none"/>
        </w:rPr>
        <w:t>15.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en-GB"/>
          <w14:ligatures w14:val="none"/>
        </w:rPr>
        <w:tab/>
        <w:t>Appendix E2 will consider the slide, not the Optical sight, as the foremost limit behind the hip bone.</w:t>
      </w:r>
    </w:p>
    <w:p w14:paraId="5FFA40B6" w14:textId="77777777" w:rsidR="00F93668" w:rsidRPr="005B2D28" w:rsidRDefault="00F93668" w:rsidP="005B2D28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:lang w:eastAsia="en-GB"/>
          <w14:ligatures w14:val="none"/>
        </w:rPr>
      </w:pPr>
    </w:p>
    <w:p w14:paraId="7450A986" w14:textId="4B45FE3A" w:rsidR="005B2D28" w:rsidRPr="005B2D28" w:rsidRDefault="005B2D28" w:rsidP="005B2D28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  <w:r w:rsidRPr="005B2D28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1</w:t>
      </w:r>
      <w:r w:rsidR="00F93668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6</w:t>
      </w:r>
      <w:r w:rsidRPr="005B2D28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.</w:t>
      </w:r>
      <w:r w:rsidRPr="005B2D28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ab/>
        <w:t>Only porting of barrels is prohibited.  Slides may be ported.</w:t>
      </w:r>
    </w:p>
    <w:p w14:paraId="558461E7" w14:textId="77777777" w:rsidR="005B2D28" w:rsidRPr="005B2D28" w:rsidRDefault="005B2D28" w:rsidP="005B2D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4AA453" w14:textId="269D162F" w:rsidR="002466D7" w:rsidRDefault="005B2D28" w:rsidP="002466D7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  <w:r w:rsidRPr="005B2D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A5524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</w:t>
      </w:r>
      <w:r w:rsidRPr="005B2D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5B2D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2466D7" w:rsidRPr="009B2B12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 xml:space="preserve">Only handguns fitted with </w:t>
      </w:r>
      <w:r w:rsidR="003D3ECE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 xml:space="preserve">one </w:t>
      </w:r>
      <w:r w:rsidR="002466D7" w:rsidRPr="009B2B12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optical/electronic sight may be used in Optics Division.</w:t>
      </w:r>
    </w:p>
    <w:p w14:paraId="79856527" w14:textId="77777777" w:rsidR="002466D7" w:rsidRDefault="002466D7" w:rsidP="002466D7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424CDAFF" w14:textId="3850CA63" w:rsidR="002466D7" w:rsidRDefault="002466D7" w:rsidP="002466D7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1</w:t>
      </w:r>
      <w:r w:rsidR="00A55241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8</w:t>
      </w:r>
      <w:r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.</w:t>
      </w:r>
      <w:r w:rsidR="00A3228D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ab/>
      </w:r>
      <w:r w:rsidRPr="009B2B12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Optical/electronic sights must be mounted on the upper rear of the slide either in addition to, or replacement of, the rear open sight</w:t>
      </w:r>
      <w:r w:rsidRPr="00DB073E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>.</w:t>
      </w:r>
      <w:r w:rsidR="00F93668"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  <w:t xml:space="preserve"> Milling of the slide is permitted to install the optical/electronic sight.</w:t>
      </w:r>
    </w:p>
    <w:p w14:paraId="2A1ACC97" w14:textId="77777777" w:rsidR="00A55241" w:rsidRDefault="00A55241" w:rsidP="002466D7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491FC7FC" w14:textId="77777777" w:rsidR="002466D7" w:rsidRDefault="002466D7" w:rsidP="002466D7">
      <w:p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Arial"/>
          <w:kern w:val="0"/>
          <w:sz w:val="20"/>
          <w:szCs w:val="20"/>
          <w14:ligatures w14:val="none"/>
        </w:rPr>
      </w:pPr>
    </w:p>
    <w:p w14:paraId="27250112" w14:textId="77777777" w:rsidR="004246FE" w:rsidRDefault="004246FE"/>
    <w:p w14:paraId="686EAA3D" w14:textId="77777777" w:rsidR="00A5090B" w:rsidRDefault="00A5090B"/>
    <w:p w14:paraId="00A44E04" w14:textId="77777777" w:rsidR="00A5090B" w:rsidRPr="00A5090B" w:rsidRDefault="00A5090B" w:rsidP="00A5090B">
      <w:pPr>
        <w:pStyle w:val="NoSpacing"/>
        <w:rPr>
          <w:sz w:val="20"/>
          <w:szCs w:val="20"/>
        </w:rPr>
      </w:pPr>
      <w:r w:rsidRPr="00A5090B">
        <w:rPr>
          <w:sz w:val="20"/>
          <w:szCs w:val="20"/>
        </w:rPr>
        <w:t xml:space="preserve">THIS APPENDIX FOR THE OPTICS DIVISION HAS BEEN AUTHORIZED BY THE IPSC EXECUTIVE COMMITTEE ON OCTOBER 18, </w:t>
      </w:r>
      <w:proofErr w:type="gramStart"/>
      <w:r w:rsidRPr="00A5090B">
        <w:rPr>
          <w:sz w:val="20"/>
          <w:szCs w:val="20"/>
        </w:rPr>
        <w:t>2024</w:t>
      </w:r>
      <w:proofErr w:type="gramEnd"/>
      <w:r w:rsidRPr="00A5090B">
        <w:rPr>
          <w:sz w:val="20"/>
          <w:szCs w:val="20"/>
        </w:rPr>
        <w:t xml:space="preserve"> FOR A TRIAL PERIOD FOR THE FOLLOWING REGIONS:</w:t>
      </w:r>
    </w:p>
    <w:p w14:paraId="3A519ECF" w14:textId="77777777" w:rsidR="00A5090B" w:rsidRPr="00A5090B" w:rsidRDefault="00A5090B" w:rsidP="00A5090B">
      <w:pPr>
        <w:pStyle w:val="NoSpacing"/>
        <w:rPr>
          <w:sz w:val="20"/>
          <w:szCs w:val="20"/>
        </w:rPr>
      </w:pPr>
    </w:p>
    <w:p w14:paraId="68463D3F" w14:textId="77777777" w:rsidR="00A5090B" w:rsidRPr="00A5090B" w:rsidRDefault="00A5090B" w:rsidP="00A5090B">
      <w:pPr>
        <w:pStyle w:val="NoSpacing"/>
        <w:rPr>
          <w:sz w:val="20"/>
          <w:szCs w:val="20"/>
        </w:rPr>
      </w:pPr>
      <w:r w:rsidRPr="00A5090B">
        <w:rPr>
          <w:sz w:val="20"/>
          <w:szCs w:val="20"/>
        </w:rPr>
        <w:t>Alex Chang - RD Brazil</w:t>
      </w:r>
      <w:r w:rsidRPr="00A5090B">
        <w:rPr>
          <w:sz w:val="20"/>
          <w:szCs w:val="20"/>
        </w:rPr>
        <w:tab/>
      </w:r>
      <w:r w:rsidRPr="00A5090B">
        <w:rPr>
          <w:sz w:val="20"/>
          <w:szCs w:val="20"/>
        </w:rPr>
        <w:tab/>
      </w:r>
      <w:r w:rsidRPr="00A5090B">
        <w:rPr>
          <w:sz w:val="20"/>
          <w:szCs w:val="20"/>
        </w:rPr>
        <w:tab/>
      </w:r>
      <w:r w:rsidRPr="00A5090B">
        <w:rPr>
          <w:sz w:val="20"/>
          <w:szCs w:val="20"/>
        </w:rPr>
        <w:tab/>
        <w:t>Ramon Salazar – RD Panama</w:t>
      </w:r>
    </w:p>
    <w:p w14:paraId="69A87B37" w14:textId="5F30359A" w:rsidR="00A5090B" w:rsidRPr="00A5090B" w:rsidRDefault="00A5090B" w:rsidP="00A5090B">
      <w:pPr>
        <w:pStyle w:val="NoSpacing"/>
        <w:rPr>
          <w:sz w:val="20"/>
          <w:szCs w:val="20"/>
        </w:rPr>
      </w:pPr>
      <w:r w:rsidRPr="00A5090B">
        <w:rPr>
          <w:rFonts w:eastAsia="Times New Roman"/>
          <w:color w:val="000000"/>
          <w:sz w:val="20"/>
          <w:szCs w:val="20"/>
          <w:lang w:val="en-BR"/>
        </w:rPr>
        <w:t>Izhak Ellenbogen </w:t>
      </w:r>
      <w:r w:rsidRPr="00A5090B">
        <w:rPr>
          <w:rFonts w:eastAsia="Times New Roman"/>
          <w:color w:val="000000"/>
          <w:sz w:val="20"/>
          <w:szCs w:val="20"/>
        </w:rPr>
        <w:t xml:space="preserve"> - </w:t>
      </w:r>
      <w:r w:rsidRPr="00A5090B">
        <w:rPr>
          <w:rFonts w:eastAsia="Times New Roman"/>
          <w:color w:val="000000"/>
          <w:sz w:val="20"/>
          <w:szCs w:val="20"/>
          <w:lang w:val="en-BR"/>
        </w:rPr>
        <w:t>RD Israel</w:t>
      </w:r>
      <w:r w:rsidRPr="00A5090B">
        <w:rPr>
          <w:rFonts w:eastAsia="Times New Roman"/>
          <w:color w:val="000000"/>
          <w:sz w:val="20"/>
          <w:szCs w:val="20"/>
          <w:lang w:val="en-BR"/>
        </w:rPr>
        <w:tab/>
      </w:r>
      <w:r w:rsidRPr="00A5090B">
        <w:rPr>
          <w:rFonts w:eastAsia="Times New Roman"/>
          <w:color w:val="000000"/>
          <w:sz w:val="20"/>
          <w:szCs w:val="20"/>
          <w:lang w:val="en-BR"/>
        </w:rPr>
        <w:tab/>
      </w:r>
      <w:r w:rsidRPr="00A5090B">
        <w:rPr>
          <w:rFonts w:eastAsia="Times New Roman"/>
          <w:color w:val="000000"/>
          <w:sz w:val="20"/>
          <w:szCs w:val="20"/>
          <w:lang w:val="en-BR"/>
        </w:rPr>
        <w:tab/>
      </w:r>
      <w:r w:rsidRPr="00A5090B">
        <w:rPr>
          <w:color w:val="000000"/>
          <w:sz w:val="20"/>
          <w:szCs w:val="20"/>
        </w:rPr>
        <w:t>Mohamed Osman – RD South Africa</w:t>
      </w:r>
    </w:p>
    <w:p w14:paraId="7F8BEB4E" w14:textId="77777777" w:rsidR="00A5090B" w:rsidRPr="00A5090B" w:rsidRDefault="00A5090B" w:rsidP="00A5090B">
      <w:pPr>
        <w:pStyle w:val="NoSpacing"/>
        <w:rPr>
          <w:color w:val="000000"/>
          <w:sz w:val="20"/>
          <w:szCs w:val="20"/>
        </w:rPr>
      </w:pPr>
      <w:r w:rsidRPr="00A5090B">
        <w:rPr>
          <w:color w:val="000000"/>
          <w:sz w:val="20"/>
          <w:szCs w:val="20"/>
        </w:rPr>
        <w:t xml:space="preserve">Stéphane </w:t>
      </w:r>
      <w:proofErr w:type="spellStart"/>
      <w:r w:rsidRPr="00A5090B">
        <w:rPr>
          <w:color w:val="000000"/>
          <w:sz w:val="20"/>
          <w:szCs w:val="20"/>
        </w:rPr>
        <w:t>Quertinier</w:t>
      </w:r>
      <w:proofErr w:type="spellEnd"/>
      <w:r w:rsidRPr="00A5090B">
        <w:rPr>
          <w:color w:val="000000"/>
          <w:sz w:val="20"/>
          <w:szCs w:val="20"/>
        </w:rPr>
        <w:t xml:space="preserve"> – RD France</w:t>
      </w:r>
      <w:r w:rsidRPr="00A5090B">
        <w:rPr>
          <w:color w:val="000000"/>
          <w:sz w:val="20"/>
          <w:szCs w:val="20"/>
        </w:rPr>
        <w:tab/>
      </w:r>
      <w:r w:rsidRPr="00A5090B">
        <w:rPr>
          <w:color w:val="000000"/>
          <w:sz w:val="20"/>
          <w:szCs w:val="20"/>
        </w:rPr>
        <w:tab/>
      </w:r>
      <w:r w:rsidRPr="00A5090B">
        <w:rPr>
          <w:color w:val="000000"/>
          <w:sz w:val="20"/>
          <w:szCs w:val="20"/>
        </w:rPr>
        <w:tab/>
        <w:t xml:space="preserve">Daniel Guillen </w:t>
      </w:r>
      <w:proofErr w:type="gramStart"/>
      <w:r w:rsidRPr="00A5090B">
        <w:rPr>
          <w:color w:val="000000"/>
          <w:sz w:val="20"/>
          <w:szCs w:val="20"/>
        </w:rPr>
        <w:t>–  RD</w:t>
      </w:r>
      <w:proofErr w:type="gramEnd"/>
      <w:r w:rsidRPr="00A5090B">
        <w:rPr>
          <w:color w:val="000000"/>
          <w:sz w:val="20"/>
          <w:szCs w:val="20"/>
        </w:rPr>
        <w:t xml:space="preserve"> Guatemala</w:t>
      </w:r>
    </w:p>
    <w:p w14:paraId="35CF18FB" w14:textId="77777777" w:rsidR="00A5090B" w:rsidRPr="00A5090B" w:rsidRDefault="00A5090B" w:rsidP="00A5090B">
      <w:pPr>
        <w:pStyle w:val="NoSpacing"/>
        <w:rPr>
          <w:sz w:val="20"/>
          <w:szCs w:val="20"/>
          <w:lang w:val="pt-BR"/>
        </w:rPr>
      </w:pPr>
      <w:proofErr w:type="spellStart"/>
      <w:r w:rsidRPr="00A5090B">
        <w:rPr>
          <w:color w:val="000000"/>
          <w:sz w:val="20"/>
          <w:szCs w:val="20"/>
          <w:lang w:val="pt-BR"/>
        </w:rPr>
        <w:t>Duane</w:t>
      </w:r>
      <w:proofErr w:type="spellEnd"/>
      <w:r w:rsidRPr="00A5090B">
        <w:rPr>
          <w:color w:val="000000"/>
          <w:sz w:val="20"/>
          <w:szCs w:val="20"/>
          <w:lang w:val="pt-BR"/>
        </w:rPr>
        <w:t xml:space="preserve"> Noel – RD </w:t>
      </w:r>
      <w:proofErr w:type="spellStart"/>
      <w:r w:rsidRPr="00A5090B">
        <w:rPr>
          <w:color w:val="000000"/>
          <w:sz w:val="20"/>
          <w:szCs w:val="20"/>
          <w:lang w:val="pt-BR"/>
        </w:rPr>
        <w:t>Grenada</w:t>
      </w:r>
      <w:proofErr w:type="spellEnd"/>
      <w:r w:rsidRPr="00A5090B">
        <w:rPr>
          <w:color w:val="000000"/>
          <w:sz w:val="20"/>
          <w:szCs w:val="20"/>
          <w:lang w:val="pt-BR"/>
        </w:rPr>
        <w:tab/>
      </w:r>
      <w:r w:rsidRPr="00A5090B">
        <w:rPr>
          <w:color w:val="000000"/>
          <w:sz w:val="20"/>
          <w:szCs w:val="20"/>
          <w:lang w:val="pt-BR"/>
        </w:rPr>
        <w:tab/>
      </w:r>
      <w:r w:rsidRPr="00A5090B">
        <w:rPr>
          <w:color w:val="000000"/>
          <w:sz w:val="20"/>
          <w:szCs w:val="20"/>
          <w:lang w:val="pt-BR"/>
        </w:rPr>
        <w:tab/>
      </w:r>
      <w:r w:rsidRPr="00A5090B">
        <w:rPr>
          <w:color w:val="000000"/>
          <w:sz w:val="20"/>
          <w:szCs w:val="20"/>
          <w:lang w:val="pt-BR"/>
        </w:rPr>
        <w:tab/>
        <w:t>Ramon Salazar – RD Panama</w:t>
      </w:r>
    </w:p>
    <w:p w14:paraId="64FE2295" w14:textId="4357073F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>Kevin Grant – RD Barbados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  <w:t>Rodrigo Carvajal – RD Costa Rica</w:t>
      </w:r>
    </w:p>
    <w:p w14:paraId="0481A053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>Andrea Lee Kim – RD Trinidad &amp; Tobago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  <w:t>Eduardo Ramos – RD Puerto Rico</w:t>
      </w:r>
    </w:p>
    <w:p w14:paraId="7BF03CBB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>Genaro Lopez – RD Peru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  <w:t xml:space="preserve">Ricardo </w:t>
      </w:r>
      <w:proofErr w:type="spellStart"/>
      <w:r w:rsidRPr="00A5090B">
        <w:rPr>
          <w:rFonts w:cstheme="minorHAnsi"/>
          <w:color w:val="000000"/>
          <w:sz w:val="20"/>
          <w:szCs w:val="20"/>
          <w:lang w:val="pt-BR"/>
        </w:rPr>
        <w:t>Larrañaga</w:t>
      </w:r>
      <w:proofErr w:type="spellEnd"/>
      <w:r w:rsidRPr="00A5090B">
        <w:rPr>
          <w:rFonts w:cstheme="minorHAnsi"/>
          <w:color w:val="000000"/>
          <w:sz w:val="20"/>
          <w:szCs w:val="20"/>
          <w:lang w:val="pt-BR"/>
        </w:rPr>
        <w:t xml:space="preserve"> – RD Argentina</w:t>
      </w:r>
    </w:p>
    <w:p w14:paraId="4A56D50F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 xml:space="preserve">Gonzalo </w:t>
      </w:r>
      <w:proofErr w:type="spellStart"/>
      <w:r w:rsidRPr="00A5090B">
        <w:rPr>
          <w:rFonts w:cstheme="minorHAnsi"/>
          <w:color w:val="000000"/>
          <w:sz w:val="20"/>
          <w:szCs w:val="20"/>
          <w:lang w:val="pt-BR"/>
        </w:rPr>
        <w:t>Salsamendi</w:t>
      </w:r>
      <w:proofErr w:type="spellEnd"/>
      <w:r w:rsidRPr="00A5090B">
        <w:rPr>
          <w:rFonts w:cstheme="minorHAnsi"/>
          <w:color w:val="000000"/>
          <w:sz w:val="20"/>
          <w:szCs w:val="20"/>
          <w:lang w:val="pt-BR"/>
        </w:rPr>
        <w:t xml:space="preserve"> – RD Paraguay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  <w:t xml:space="preserve">Jaime Lozano – RD </w:t>
      </w:r>
      <w:proofErr w:type="spellStart"/>
      <w:r w:rsidRPr="00A5090B">
        <w:rPr>
          <w:rFonts w:cstheme="minorHAnsi"/>
          <w:color w:val="000000"/>
          <w:sz w:val="20"/>
          <w:szCs w:val="20"/>
          <w:lang w:val="pt-BR"/>
        </w:rPr>
        <w:t>Bolivia</w:t>
      </w:r>
      <w:proofErr w:type="spellEnd"/>
    </w:p>
    <w:p w14:paraId="0038757F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>Fernando Alvarez – RD Honduras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proofErr w:type="spellStart"/>
      <w:r w:rsidRPr="00A5090B">
        <w:rPr>
          <w:rFonts w:cstheme="minorHAnsi"/>
          <w:color w:val="000000"/>
          <w:sz w:val="20"/>
          <w:szCs w:val="20"/>
          <w:lang w:val="pt-BR"/>
        </w:rPr>
        <w:t>Ajid</w:t>
      </w:r>
      <w:proofErr w:type="spellEnd"/>
      <w:r w:rsidRPr="00A5090B">
        <w:rPr>
          <w:rFonts w:cstheme="minorHAnsi"/>
          <w:color w:val="000000"/>
          <w:sz w:val="20"/>
          <w:szCs w:val="20"/>
          <w:lang w:val="pt-BR"/>
        </w:rPr>
        <w:t xml:space="preserve"> </w:t>
      </w:r>
      <w:proofErr w:type="spellStart"/>
      <w:r w:rsidRPr="00A5090B">
        <w:rPr>
          <w:rFonts w:cstheme="minorHAnsi"/>
          <w:color w:val="000000"/>
          <w:sz w:val="20"/>
          <w:szCs w:val="20"/>
          <w:lang w:val="pt-BR"/>
        </w:rPr>
        <w:t>Jankie</w:t>
      </w:r>
      <w:proofErr w:type="spellEnd"/>
      <w:r w:rsidRPr="00A5090B">
        <w:rPr>
          <w:rFonts w:cstheme="minorHAnsi"/>
          <w:color w:val="000000"/>
          <w:sz w:val="20"/>
          <w:szCs w:val="20"/>
          <w:lang w:val="pt-BR"/>
        </w:rPr>
        <w:t xml:space="preserve"> – RD Saint Lucia</w:t>
      </w:r>
    </w:p>
    <w:p w14:paraId="110042D6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  <w:lang w:val="pt-BR"/>
        </w:rPr>
      </w:pPr>
      <w:r w:rsidRPr="00A5090B">
        <w:rPr>
          <w:rFonts w:cstheme="minorHAnsi"/>
          <w:color w:val="000000"/>
          <w:sz w:val="20"/>
          <w:szCs w:val="20"/>
          <w:lang w:val="pt-BR"/>
        </w:rPr>
        <w:t>Francisco Ramos – RD El Salvador</w:t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</w:r>
      <w:r w:rsidRPr="00A5090B">
        <w:rPr>
          <w:rFonts w:cstheme="minorHAnsi"/>
          <w:color w:val="000000"/>
          <w:sz w:val="20"/>
          <w:szCs w:val="20"/>
          <w:lang w:val="pt-BR"/>
        </w:rPr>
        <w:tab/>
        <w:t>Felipe Soriano – RD Chile</w:t>
      </w:r>
    </w:p>
    <w:p w14:paraId="5210B9F9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</w:rPr>
      </w:pPr>
      <w:r w:rsidRPr="00A5090B">
        <w:rPr>
          <w:rFonts w:cstheme="minorHAnsi"/>
          <w:color w:val="000000"/>
          <w:sz w:val="20"/>
          <w:szCs w:val="20"/>
        </w:rPr>
        <w:t>Elkin Coulson – RD Colombia</w:t>
      </w:r>
      <w:r w:rsidRPr="00A5090B">
        <w:rPr>
          <w:rFonts w:cstheme="minorHAnsi"/>
          <w:color w:val="000000"/>
          <w:sz w:val="20"/>
          <w:szCs w:val="20"/>
        </w:rPr>
        <w:tab/>
      </w:r>
      <w:r w:rsidRPr="00A5090B">
        <w:rPr>
          <w:rFonts w:cstheme="minorHAnsi"/>
          <w:color w:val="000000"/>
          <w:sz w:val="20"/>
          <w:szCs w:val="20"/>
        </w:rPr>
        <w:tab/>
      </w:r>
      <w:r w:rsidRPr="00A5090B">
        <w:rPr>
          <w:rFonts w:cstheme="minorHAnsi"/>
          <w:color w:val="000000"/>
          <w:sz w:val="20"/>
          <w:szCs w:val="20"/>
        </w:rPr>
        <w:tab/>
        <w:t>Edward de Cuba – RD Aruba</w:t>
      </w:r>
    </w:p>
    <w:p w14:paraId="66BB706F" w14:textId="77777777" w:rsidR="00A5090B" w:rsidRPr="00A5090B" w:rsidRDefault="00A5090B" w:rsidP="00A5090B">
      <w:pPr>
        <w:rPr>
          <w:rFonts w:cstheme="minorHAnsi"/>
          <w:color w:val="000000"/>
          <w:sz w:val="20"/>
          <w:szCs w:val="20"/>
        </w:rPr>
      </w:pPr>
      <w:r w:rsidRPr="00A5090B">
        <w:rPr>
          <w:rFonts w:cstheme="minorHAnsi"/>
          <w:color w:val="000000"/>
          <w:sz w:val="20"/>
          <w:szCs w:val="20"/>
        </w:rPr>
        <w:t xml:space="preserve">Omar Enrique </w:t>
      </w:r>
      <w:proofErr w:type="spellStart"/>
      <w:r w:rsidRPr="00A5090B">
        <w:rPr>
          <w:rFonts w:cstheme="minorHAnsi"/>
          <w:color w:val="000000"/>
          <w:sz w:val="20"/>
          <w:szCs w:val="20"/>
        </w:rPr>
        <w:t>Larrañaga</w:t>
      </w:r>
      <w:proofErr w:type="spellEnd"/>
      <w:r w:rsidRPr="00A5090B">
        <w:rPr>
          <w:rFonts w:cstheme="minorHAnsi"/>
          <w:color w:val="000000"/>
          <w:sz w:val="20"/>
          <w:szCs w:val="20"/>
        </w:rPr>
        <w:t xml:space="preserve"> – RD Uruguay</w:t>
      </w:r>
    </w:p>
    <w:p w14:paraId="3FD542B8" w14:textId="77777777" w:rsidR="00A5090B" w:rsidRPr="00A5090B" w:rsidRDefault="00A5090B" w:rsidP="00A5090B">
      <w:pPr>
        <w:tabs>
          <w:tab w:val="left" w:pos="800"/>
        </w:tabs>
        <w:spacing w:before="1"/>
        <w:ind w:right="177"/>
        <w:rPr>
          <w:i/>
          <w:iCs/>
          <w:color w:val="000000" w:themeColor="text1"/>
          <w:sz w:val="20"/>
          <w:szCs w:val="20"/>
        </w:rPr>
      </w:pPr>
    </w:p>
    <w:p w14:paraId="42C0FC85" w14:textId="77777777" w:rsidR="00A5090B" w:rsidRDefault="00A5090B"/>
    <w:sectPr w:rsidR="00A50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28"/>
    <w:rsid w:val="00026569"/>
    <w:rsid w:val="00200B30"/>
    <w:rsid w:val="0024528D"/>
    <w:rsid w:val="002466D7"/>
    <w:rsid w:val="0033340B"/>
    <w:rsid w:val="00383FEE"/>
    <w:rsid w:val="003D3ECE"/>
    <w:rsid w:val="004246FE"/>
    <w:rsid w:val="00464047"/>
    <w:rsid w:val="00503BCB"/>
    <w:rsid w:val="005740EC"/>
    <w:rsid w:val="005B2D28"/>
    <w:rsid w:val="005C2717"/>
    <w:rsid w:val="006C18E4"/>
    <w:rsid w:val="00892E41"/>
    <w:rsid w:val="009075F0"/>
    <w:rsid w:val="00A3228D"/>
    <w:rsid w:val="00A5090B"/>
    <w:rsid w:val="00A55241"/>
    <w:rsid w:val="00AB0BC6"/>
    <w:rsid w:val="00D606A6"/>
    <w:rsid w:val="00DB073E"/>
    <w:rsid w:val="00E35294"/>
    <w:rsid w:val="00ED4CAD"/>
    <w:rsid w:val="00F4240C"/>
    <w:rsid w:val="00F93668"/>
    <w:rsid w:val="00F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24450"/>
  <w15:chartTrackingRefBased/>
  <w15:docId w15:val="{BD5A0823-FC6B-4DBA-BFD1-5538F2F0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90B"/>
    <w:pPr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ALEX CHANG</cp:lastModifiedBy>
  <cp:revision>3</cp:revision>
  <cp:lastPrinted>2023-04-19T21:18:00Z</cp:lastPrinted>
  <dcterms:created xsi:type="dcterms:W3CDTF">2024-10-25T19:19:00Z</dcterms:created>
  <dcterms:modified xsi:type="dcterms:W3CDTF">2024-10-26T16:07:00Z</dcterms:modified>
</cp:coreProperties>
</file>