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606" w:rsidRPr="001F5606" w:rsidRDefault="001F5606" w:rsidP="001F5606">
      <w:pPr>
        <w:shd w:val="clear" w:color="auto" w:fill="FFFFFF"/>
        <w:spacing w:after="0" w:line="240" w:lineRule="auto"/>
        <w:textAlignment w:val="baseline"/>
        <w:outlineLvl w:val="0"/>
        <w:rPr>
          <w:rFonts w:ascii="inherit" w:eastAsia="Times New Roman" w:hAnsi="inherit" w:cs="Arial"/>
          <w:b/>
          <w:bCs/>
          <w:color w:val="444444"/>
          <w:spacing w:val="30"/>
          <w:kern w:val="36"/>
          <w:sz w:val="33"/>
          <w:szCs w:val="33"/>
          <w:lang w:eastAsia="fr-FR"/>
        </w:rPr>
      </w:pPr>
      <w:r w:rsidRPr="001F5606">
        <w:rPr>
          <w:rFonts w:ascii="inherit" w:eastAsia="Times New Roman" w:hAnsi="inherit" w:cs="Arial"/>
          <w:b/>
          <w:bCs/>
          <w:color w:val="444444"/>
          <w:spacing w:val="30"/>
          <w:kern w:val="36"/>
          <w:sz w:val="33"/>
          <w:szCs w:val="33"/>
          <w:lang w:eastAsia="fr-FR"/>
        </w:rPr>
        <w:t>Le carnet de tir et les 3 tirs contrôlés</w:t>
      </w:r>
    </w:p>
    <w:p w:rsidR="001F5606" w:rsidRPr="001F5606" w:rsidRDefault="001F5606" w:rsidP="001F5606">
      <w:pPr>
        <w:shd w:val="clear" w:color="auto" w:fill="FFFFFF"/>
        <w:spacing w:line="240" w:lineRule="auto"/>
        <w:textAlignment w:val="baseline"/>
        <w:rPr>
          <w:rFonts w:ascii="inherit" w:eastAsia="Times New Roman" w:hAnsi="inherit" w:cs="Arial"/>
          <w:i/>
          <w:iCs/>
          <w:color w:val="444444"/>
          <w:sz w:val="18"/>
          <w:szCs w:val="18"/>
          <w:lang w:eastAsia="fr-FR"/>
        </w:rPr>
      </w:pPr>
      <w:proofErr w:type="gramStart"/>
      <w:r w:rsidRPr="001F5606">
        <w:rPr>
          <w:rFonts w:ascii="inherit" w:eastAsia="Times New Roman" w:hAnsi="inherit" w:cs="Arial"/>
          <w:i/>
          <w:iCs/>
          <w:color w:val="444444"/>
          <w:sz w:val="18"/>
          <w:szCs w:val="18"/>
          <w:lang w:eastAsia="fr-FR"/>
        </w:rPr>
        <w:t>vendredi</w:t>
      </w:r>
      <w:proofErr w:type="gramEnd"/>
      <w:r w:rsidRPr="001F5606">
        <w:rPr>
          <w:rFonts w:ascii="inherit" w:eastAsia="Times New Roman" w:hAnsi="inherit" w:cs="Arial"/>
          <w:i/>
          <w:iCs/>
          <w:color w:val="444444"/>
          <w:sz w:val="18"/>
          <w:szCs w:val="18"/>
          <w:lang w:eastAsia="fr-FR"/>
        </w:rPr>
        <w:t xml:space="preserve"> 12 janvier 2018</w:t>
      </w:r>
      <w:r w:rsidRPr="001F5606">
        <w:rPr>
          <w:rFonts w:ascii="inherit" w:eastAsia="Times New Roman" w:hAnsi="inherit" w:cs="Arial"/>
          <w:i/>
          <w:iCs/>
          <w:color w:val="444444"/>
          <w:sz w:val="18"/>
          <w:szCs w:val="18"/>
          <w:bdr w:val="none" w:sz="0" w:space="0" w:color="auto" w:frame="1"/>
          <w:lang w:eastAsia="fr-FR"/>
        </w:rPr>
        <w:t>, par </w:t>
      </w:r>
      <w:hyperlink r:id="rId5" w:history="1">
        <w:r w:rsidRPr="001F5606">
          <w:rPr>
            <w:rFonts w:ascii="inherit" w:eastAsia="Times New Roman" w:hAnsi="inherit" w:cs="Arial"/>
            <w:i/>
            <w:iCs/>
            <w:color w:val="1F95D9"/>
            <w:sz w:val="18"/>
            <w:szCs w:val="18"/>
            <w:u w:val="single"/>
            <w:bdr w:val="none" w:sz="0" w:space="0" w:color="auto" w:frame="1"/>
            <w:lang w:eastAsia="fr-FR"/>
          </w:rPr>
          <w:t>Jean-Jacques BUIGNE président de l’UFA</w:t>
        </w:r>
      </w:hyperlink>
      <w:r w:rsidRPr="001F5606">
        <w:rPr>
          <w:rFonts w:ascii="inherit" w:eastAsia="Times New Roman" w:hAnsi="inherit" w:cs="Arial"/>
          <w:i/>
          <w:iCs/>
          <w:color w:val="444444"/>
          <w:sz w:val="18"/>
          <w:szCs w:val="18"/>
          <w:lang w:eastAsia="fr-FR"/>
        </w:rPr>
        <w:t> (publié initialement le 25 novembre 2009)</w:t>
      </w:r>
    </w:p>
    <w:p w:rsidR="001F5606" w:rsidRPr="001F5606" w:rsidRDefault="001F5606" w:rsidP="001F5606">
      <w:pPr>
        <w:shd w:val="clear" w:color="auto" w:fill="FFFFFF"/>
        <w:spacing w:after="0" w:line="312" w:lineRule="atLeast"/>
        <w:ind w:right="330"/>
        <w:jc w:val="center"/>
        <w:textAlignment w:val="baseline"/>
        <w:rPr>
          <w:rFonts w:ascii="inherit" w:eastAsia="Times New Roman" w:hAnsi="inherit" w:cs="Arial"/>
          <w:b/>
          <w:bCs/>
          <w:i/>
          <w:iCs/>
          <w:color w:val="444444"/>
          <w:sz w:val="17"/>
          <w:szCs w:val="17"/>
          <w:lang w:eastAsia="fr-FR"/>
        </w:rPr>
      </w:pPr>
      <w:r w:rsidRPr="001F5606">
        <w:rPr>
          <w:rFonts w:ascii="inherit" w:eastAsia="Times New Roman" w:hAnsi="inherit" w:cs="Arial"/>
          <w:b/>
          <w:bCs/>
          <w:i/>
          <w:iCs/>
          <w:noProof/>
          <w:color w:val="444444"/>
          <w:sz w:val="17"/>
          <w:szCs w:val="17"/>
          <w:lang w:eastAsia="fr-FR"/>
        </w:rPr>
        <w:drawing>
          <wp:inline distT="0" distB="0" distL="0" distR="0" wp14:anchorId="6E39D24A" wp14:editId="1119B811">
            <wp:extent cx="514350" cy="501650"/>
            <wp:effectExtent l="0" t="0" r="0" b="0"/>
            <wp:docPr id="21" name="Image 21" descr="PNG - 11.7 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 11.7 k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01650"/>
                    </a:xfrm>
                    <a:prstGeom prst="rect">
                      <a:avLst/>
                    </a:prstGeom>
                    <a:noFill/>
                    <a:ln>
                      <a:noFill/>
                    </a:ln>
                  </pic:spPr>
                </pic:pic>
              </a:graphicData>
            </a:graphic>
          </wp:inline>
        </w:drawing>
      </w:r>
    </w:p>
    <w:p w:rsidR="001F5606" w:rsidRPr="001F5606" w:rsidRDefault="001F5606" w:rsidP="001F5606">
      <w:pPr>
        <w:shd w:val="clear" w:color="auto" w:fill="FFFFFF"/>
        <w:spacing w:after="360" w:line="312" w:lineRule="atLeast"/>
        <w:ind w:right="-993"/>
        <w:jc w:val="both"/>
        <w:textAlignment w:val="baseline"/>
        <w:rPr>
          <w:rFonts w:ascii="Arial" w:eastAsia="Times New Roman" w:hAnsi="Arial" w:cs="Arial"/>
          <w:b/>
          <w:bCs/>
          <w:color w:val="444444"/>
          <w:sz w:val="20"/>
          <w:szCs w:val="20"/>
          <w:lang w:eastAsia="fr-FR"/>
        </w:rPr>
      </w:pPr>
      <w:r w:rsidRPr="001F5606">
        <w:rPr>
          <w:rFonts w:ascii="Arial" w:eastAsia="Times New Roman" w:hAnsi="Arial" w:cs="Arial"/>
          <w:b/>
          <w:bCs/>
          <w:color w:val="444444"/>
          <w:sz w:val="20"/>
          <w:szCs w:val="20"/>
          <w:lang w:eastAsia="fr-FR"/>
        </w:rPr>
        <w:t>Pour obtenir une autorisation le tireur doit participer à trois tirs contrôlés dans l’année. Pour cela il dispose d’un carnet de tir qui atteste qu’il a participé à 3 tirs contrôlés dans les 12 mois qui précèdent.</w:t>
      </w:r>
    </w:p>
    <w:p w:rsidR="001F5606" w:rsidRPr="001F5606" w:rsidRDefault="001F5606" w:rsidP="001F5606">
      <w:pPr>
        <w:shd w:val="clear" w:color="auto" w:fill="FFFFFF"/>
        <w:spacing w:after="0" w:line="312" w:lineRule="atLeast"/>
        <w:jc w:val="both"/>
        <w:textAlignment w:val="baseline"/>
        <w:rPr>
          <w:rFonts w:ascii="Arial" w:eastAsia="Times New Roman" w:hAnsi="Arial" w:cs="Arial"/>
          <w:color w:val="444444"/>
          <w:sz w:val="20"/>
          <w:szCs w:val="20"/>
          <w:lang w:eastAsia="fr-FR"/>
        </w:rPr>
      </w:pPr>
      <w:r w:rsidRPr="001F5606">
        <w:rPr>
          <w:rFonts w:ascii="Arial" w:eastAsia="Times New Roman" w:hAnsi="Arial" w:cs="Arial"/>
          <w:color w:val="444444"/>
          <w:sz w:val="20"/>
          <w:szCs w:val="20"/>
          <w:lang w:eastAsia="fr-FR"/>
        </w:rPr>
        <w:t>Une polémique existait sur l’année civile ou l’année sportive. Désormais la situation est plus simple : la règlementation actuelle impose que ces trois tirs contrôlés soient exécutés dans les 12 mois qui précèdent et espacés de deux mois. Il n’y a donc plus d’obligation de calendrier ou de saison.</w:t>
      </w:r>
      <w:r w:rsidRPr="001F5606">
        <w:rPr>
          <w:rFonts w:ascii="Arial" w:eastAsia="Times New Roman" w:hAnsi="Arial" w:cs="Arial"/>
          <w:color w:val="444444"/>
          <w:sz w:val="20"/>
          <w:szCs w:val="20"/>
          <w:lang w:eastAsia="fr-FR"/>
        </w:rPr>
        <w:br/>
        <w:t>Le texte précise que </w:t>
      </w:r>
      <w:r w:rsidRPr="001F5606">
        <w:rPr>
          <w:rFonts w:ascii="inherit" w:eastAsia="Times New Roman" w:hAnsi="inherit" w:cs="Arial"/>
          <w:i/>
          <w:iCs/>
          <w:color w:val="444444"/>
          <w:sz w:val="20"/>
          <w:szCs w:val="20"/>
          <w:bdr w:val="none" w:sz="0" w:space="0" w:color="auto" w:frame="1"/>
          <w:lang w:eastAsia="fr-FR"/>
        </w:rPr>
        <w:t>"L’arme utilisée lors de la séance présente les mêmes caractéristiques que la ou les armes détenues."</w:t>
      </w:r>
      <w:r w:rsidRPr="001F5606">
        <w:rPr>
          <w:rFonts w:ascii="inherit" w:eastAsia="Times New Roman" w:hAnsi="inherit" w:cs="Arial"/>
          <w:i/>
          <w:iCs/>
          <w:noProof/>
          <w:color w:val="444444"/>
          <w:sz w:val="17"/>
          <w:szCs w:val="17"/>
          <w:bdr w:val="none" w:sz="0" w:space="0" w:color="auto" w:frame="1"/>
          <w:lang w:eastAsia="fr-FR"/>
        </w:rPr>
        <w:drawing>
          <wp:inline distT="0" distB="0" distL="0" distR="0" wp14:anchorId="3B4552C6" wp14:editId="4F7702CD">
            <wp:extent cx="2381250" cy="1492250"/>
            <wp:effectExtent l="0" t="0" r="0" b="0"/>
            <wp:docPr id="22" name="Image 22" descr="https://www.armes-ufa.com/local/cache-vignettes/L250xH157/carnet_tir_2008_r-cf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armes-ufa.com/local/cache-vignettes/L250xH157/carnet_tir_2008_r-cf99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492250"/>
                    </a:xfrm>
                    <a:prstGeom prst="rect">
                      <a:avLst/>
                    </a:prstGeom>
                    <a:noFill/>
                    <a:ln>
                      <a:noFill/>
                    </a:ln>
                  </pic:spPr>
                </pic:pic>
              </a:graphicData>
            </a:graphic>
          </wp:inline>
        </w:drawing>
      </w:r>
    </w:p>
    <w:p w:rsidR="001F5606" w:rsidRPr="001F5606" w:rsidRDefault="001F5606" w:rsidP="001F5606">
      <w:pPr>
        <w:shd w:val="clear" w:color="auto" w:fill="FFFFFF"/>
        <w:spacing w:after="0" w:line="312" w:lineRule="atLeast"/>
        <w:jc w:val="both"/>
        <w:textAlignment w:val="baseline"/>
        <w:rPr>
          <w:rFonts w:ascii="Arial" w:eastAsia="Times New Roman" w:hAnsi="Arial" w:cs="Arial"/>
          <w:color w:val="444444"/>
          <w:sz w:val="20"/>
          <w:szCs w:val="20"/>
          <w:lang w:eastAsia="fr-FR"/>
        </w:rPr>
      </w:pPr>
      <w:r w:rsidRPr="001F5606">
        <w:rPr>
          <w:rFonts w:ascii="Arial" w:eastAsia="Times New Roman" w:hAnsi="Arial" w:cs="Arial"/>
          <w:color w:val="444444"/>
          <w:sz w:val="20"/>
          <w:szCs w:val="20"/>
          <w:lang w:eastAsia="fr-FR"/>
        </w:rPr>
        <w:t>Et en 2014 une nouvelle modification : </w:t>
      </w:r>
      <w:r w:rsidRPr="001F5606">
        <w:rPr>
          <w:rFonts w:ascii="inherit" w:eastAsia="Times New Roman" w:hAnsi="inherit" w:cs="Arial"/>
          <w:i/>
          <w:iCs/>
          <w:color w:val="444444"/>
          <w:sz w:val="20"/>
          <w:szCs w:val="20"/>
          <w:bdr w:val="none" w:sz="0" w:space="0" w:color="auto" w:frame="1"/>
          <w:lang w:eastAsia="fr-FR"/>
        </w:rPr>
        <w:t>"La personne mentionnée au deuxième alinéa de l’article 1er atteste avoir contrôlé la séance de pratique du tir ou de formation initiale aux règles de sécurité, stockage et de manipulation sous la forme respectivement :</w:t>
      </w:r>
      <w:r w:rsidRPr="001F5606">
        <w:rPr>
          <w:rFonts w:ascii="inherit" w:eastAsia="Times New Roman" w:hAnsi="inherit" w:cs="Arial"/>
          <w:i/>
          <w:iCs/>
          <w:color w:val="444444"/>
          <w:sz w:val="20"/>
          <w:szCs w:val="20"/>
          <w:bdr w:val="none" w:sz="0" w:space="0" w:color="auto" w:frame="1"/>
          <w:lang w:eastAsia="fr-FR"/>
        </w:rPr>
        <w:br/>
      </w:r>
      <w:r w:rsidRPr="001F5606">
        <w:rPr>
          <w:rFonts w:ascii="inherit" w:eastAsia="Times New Roman" w:hAnsi="inherit" w:cs="Arial"/>
          <w:i/>
          <w:iCs/>
          <w:noProof/>
          <w:color w:val="444444"/>
          <w:sz w:val="20"/>
          <w:szCs w:val="20"/>
          <w:bdr w:val="none" w:sz="0" w:space="0" w:color="auto" w:frame="1"/>
          <w:lang w:eastAsia="fr-FR"/>
        </w:rPr>
        <w:drawing>
          <wp:inline distT="0" distB="0" distL="0" distR="0" wp14:anchorId="6D85535D" wp14:editId="2F7981FD">
            <wp:extent cx="76200" cy="101600"/>
            <wp:effectExtent l="0" t="0" r="0" b="0"/>
            <wp:docPr id="23"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01600"/>
                    </a:xfrm>
                    <a:prstGeom prst="rect">
                      <a:avLst/>
                    </a:prstGeom>
                    <a:noFill/>
                    <a:ln>
                      <a:noFill/>
                    </a:ln>
                  </pic:spPr>
                </pic:pic>
              </a:graphicData>
            </a:graphic>
          </wp:inline>
        </w:drawing>
      </w:r>
      <w:r w:rsidRPr="001F5606">
        <w:rPr>
          <w:rFonts w:ascii="inherit" w:eastAsia="Times New Roman" w:hAnsi="inherit" w:cs="Arial"/>
          <w:i/>
          <w:iCs/>
          <w:color w:val="444444"/>
          <w:sz w:val="20"/>
          <w:szCs w:val="20"/>
          <w:bdr w:val="none" w:sz="0" w:space="0" w:color="auto" w:frame="1"/>
          <w:lang w:eastAsia="fr-FR"/>
        </w:rPr>
        <w:t> d’une mention portée sur le carnet de tir prévu à l’article R. 312-43 du code de la sécurité intérieure ;</w:t>
      </w:r>
      <w:r w:rsidRPr="001F5606">
        <w:rPr>
          <w:rFonts w:ascii="inherit" w:eastAsia="Times New Roman" w:hAnsi="inherit" w:cs="Arial"/>
          <w:i/>
          <w:iCs/>
          <w:color w:val="444444"/>
          <w:sz w:val="20"/>
          <w:szCs w:val="20"/>
          <w:bdr w:val="none" w:sz="0" w:space="0" w:color="auto" w:frame="1"/>
          <w:lang w:eastAsia="fr-FR"/>
        </w:rPr>
        <w:br/>
      </w:r>
      <w:r w:rsidRPr="001F5606">
        <w:rPr>
          <w:rFonts w:ascii="inherit" w:eastAsia="Times New Roman" w:hAnsi="inherit" w:cs="Arial"/>
          <w:i/>
          <w:iCs/>
          <w:noProof/>
          <w:color w:val="444444"/>
          <w:sz w:val="20"/>
          <w:szCs w:val="20"/>
          <w:bdr w:val="none" w:sz="0" w:space="0" w:color="auto" w:frame="1"/>
          <w:lang w:eastAsia="fr-FR"/>
        </w:rPr>
        <w:drawing>
          <wp:inline distT="0" distB="0" distL="0" distR="0" wp14:anchorId="2EDC0408" wp14:editId="45444312">
            <wp:extent cx="76200" cy="101600"/>
            <wp:effectExtent l="0" t="0" r="0" b="0"/>
            <wp:docPr id="24"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01600"/>
                    </a:xfrm>
                    <a:prstGeom prst="rect">
                      <a:avLst/>
                    </a:prstGeom>
                    <a:noFill/>
                    <a:ln>
                      <a:noFill/>
                    </a:ln>
                  </pic:spPr>
                </pic:pic>
              </a:graphicData>
            </a:graphic>
          </wp:inline>
        </w:drawing>
      </w:r>
      <w:r w:rsidRPr="001F5606">
        <w:rPr>
          <w:rFonts w:ascii="inherit" w:eastAsia="Times New Roman" w:hAnsi="inherit" w:cs="Arial"/>
          <w:i/>
          <w:iCs/>
          <w:color w:val="444444"/>
          <w:sz w:val="20"/>
          <w:szCs w:val="20"/>
          <w:bdr w:val="none" w:sz="0" w:space="0" w:color="auto" w:frame="1"/>
          <w:lang w:eastAsia="fr-FR"/>
        </w:rPr>
        <w:t> ou d’une attestation de suivi de la formation initiale aux règles de sécurité, stockage et de manipulation des armes prévue au c du 7° du II de l’article R. 312-5 du code de la sécurité intérieure. </w:t>
      </w:r>
      <w:r w:rsidRPr="001F5606">
        <w:rPr>
          <w:rFonts w:ascii="inherit" w:eastAsia="Times New Roman" w:hAnsi="inherit" w:cs="Arial"/>
          <w:i/>
          <w:iCs/>
          <w:color w:val="444444"/>
          <w:sz w:val="20"/>
          <w:szCs w:val="20"/>
          <w:bdr w:val="none" w:sz="0" w:space="0" w:color="auto" w:frame="1"/>
          <w:lang w:eastAsia="fr-FR"/>
        </w:rPr>
        <w:br/>
        <w:t>La mention portée sur le carnet de tir vaut attestation de suivi de la formation susmentionnée. </w:t>
      </w:r>
      <w:r w:rsidRPr="001F5606">
        <w:rPr>
          <w:rFonts w:ascii="inherit" w:eastAsia="Times New Roman" w:hAnsi="inherit" w:cs="Arial"/>
          <w:i/>
          <w:iCs/>
          <w:color w:val="444444"/>
          <w:sz w:val="20"/>
          <w:szCs w:val="20"/>
          <w:bdr w:val="none" w:sz="0" w:space="0" w:color="auto" w:frame="1"/>
          <w:lang w:eastAsia="fr-FR"/>
        </w:rPr>
        <w:br/>
        <w:t>Les noms et coordonnées de l’association sportive agréée sont reportés sur ces documents."</w:t>
      </w:r>
    </w:p>
    <w:p w:rsidR="001F5606" w:rsidRPr="001F5606" w:rsidRDefault="001F5606" w:rsidP="001F5606">
      <w:pPr>
        <w:shd w:val="clear" w:color="auto" w:fill="FFFFFF"/>
        <w:spacing w:after="0" w:line="312" w:lineRule="atLeast"/>
        <w:jc w:val="both"/>
        <w:textAlignment w:val="baseline"/>
        <w:rPr>
          <w:rFonts w:ascii="Arial" w:eastAsia="Times New Roman" w:hAnsi="Arial" w:cs="Arial"/>
          <w:color w:val="444444"/>
          <w:sz w:val="20"/>
          <w:szCs w:val="20"/>
          <w:lang w:eastAsia="fr-FR"/>
        </w:rPr>
      </w:pPr>
      <w:r w:rsidRPr="001F5606">
        <w:rPr>
          <w:rFonts w:ascii="inherit" w:eastAsia="Times New Roman" w:hAnsi="inherit" w:cs="Arial"/>
          <w:b/>
          <w:bCs/>
          <w:color w:val="444444"/>
          <w:sz w:val="20"/>
          <w:szCs w:val="20"/>
          <w:bdr w:val="none" w:sz="0" w:space="0" w:color="auto" w:frame="1"/>
          <w:lang w:eastAsia="fr-FR"/>
        </w:rPr>
        <w:t xml:space="preserve">A noter qu’il est possible de valider son carnet de tir dans n’importe quel club de tir </w:t>
      </w:r>
      <w:proofErr w:type="spellStart"/>
      <w:r w:rsidRPr="001F5606">
        <w:rPr>
          <w:rFonts w:ascii="inherit" w:eastAsia="Times New Roman" w:hAnsi="inherit" w:cs="Arial"/>
          <w:b/>
          <w:bCs/>
          <w:color w:val="444444"/>
          <w:sz w:val="20"/>
          <w:szCs w:val="20"/>
          <w:bdr w:val="none" w:sz="0" w:space="0" w:color="auto" w:frame="1"/>
          <w:lang w:eastAsia="fr-FR"/>
        </w:rPr>
        <w:t>a</w:t>
      </w:r>
      <w:proofErr w:type="spellEnd"/>
      <w:r w:rsidRPr="001F5606">
        <w:rPr>
          <w:rFonts w:ascii="inherit" w:eastAsia="Times New Roman" w:hAnsi="inherit" w:cs="Arial"/>
          <w:b/>
          <w:bCs/>
          <w:color w:val="444444"/>
          <w:sz w:val="20"/>
          <w:szCs w:val="20"/>
          <w:bdr w:val="none" w:sz="0" w:space="0" w:color="auto" w:frame="1"/>
          <w:lang w:eastAsia="fr-FR"/>
        </w:rPr>
        <w:t xml:space="preserve"> condition que le club en question figure bien dans la liste des clubs </w:t>
      </w:r>
      <w:proofErr w:type="spellStart"/>
      <w:r w:rsidRPr="001F5606">
        <w:rPr>
          <w:rFonts w:ascii="inherit" w:eastAsia="Times New Roman" w:hAnsi="inherit" w:cs="Arial"/>
          <w:b/>
          <w:bCs/>
          <w:color w:val="444444"/>
          <w:sz w:val="20"/>
          <w:szCs w:val="20"/>
          <w:bdr w:val="none" w:sz="0" w:space="0" w:color="auto" w:frame="1"/>
          <w:lang w:eastAsia="fr-FR"/>
        </w:rPr>
        <w:t>FFTir</w:t>
      </w:r>
      <w:proofErr w:type="spellEnd"/>
      <w:r w:rsidRPr="001F5606">
        <w:rPr>
          <w:rFonts w:ascii="inherit" w:eastAsia="Times New Roman" w:hAnsi="inherit" w:cs="Arial"/>
          <w:b/>
          <w:bCs/>
          <w:color w:val="444444"/>
          <w:sz w:val="20"/>
          <w:szCs w:val="20"/>
          <w:bdr w:val="none" w:sz="0" w:space="0" w:color="auto" w:frame="1"/>
          <w:lang w:eastAsia="fr-FR"/>
        </w:rPr>
        <w:t>. Il doit s’agir obligatoirement d’un </w:t>
      </w:r>
      <w:hyperlink r:id="rId9" w:history="1">
        <w:r w:rsidRPr="001F5606">
          <w:rPr>
            <w:rFonts w:ascii="inherit" w:eastAsia="Times New Roman" w:hAnsi="inherit" w:cs="Arial"/>
            <w:b/>
            <w:bCs/>
            <w:color w:val="1F95D9"/>
            <w:sz w:val="20"/>
            <w:szCs w:val="20"/>
            <w:u w:val="single"/>
            <w:bdr w:val="none" w:sz="0" w:space="0" w:color="auto" w:frame="1"/>
            <w:lang w:eastAsia="fr-FR"/>
          </w:rPr>
          <w:t>stand de tir déclaré.</w:t>
        </w:r>
      </w:hyperlink>
      <w:r w:rsidRPr="001F5606">
        <w:rPr>
          <w:rFonts w:ascii="inherit" w:eastAsia="Times New Roman" w:hAnsi="inherit" w:cs="Arial"/>
          <w:b/>
          <w:bCs/>
          <w:color w:val="444444"/>
          <w:sz w:val="20"/>
          <w:szCs w:val="20"/>
          <w:bdr w:val="none" w:sz="0" w:space="0" w:color="auto" w:frame="1"/>
          <w:lang w:eastAsia="fr-FR"/>
        </w:rPr>
        <w:t>.</w:t>
      </w:r>
    </w:p>
    <w:tbl>
      <w:tblPr>
        <w:tblW w:w="14940" w:type="dxa"/>
        <w:tblCellMar>
          <w:left w:w="0" w:type="dxa"/>
          <w:right w:w="0" w:type="dxa"/>
        </w:tblCellMar>
        <w:tblLook w:val="04A0" w:firstRow="1" w:lastRow="0" w:firstColumn="1" w:lastColumn="0" w:noHBand="0" w:noVBand="1"/>
      </w:tblPr>
      <w:tblGrid>
        <w:gridCol w:w="14940"/>
      </w:tblGrid>
      <w:tr w:rsidR="001F5606" w:rsidRPr="001F5606" w:rsidTr="001F5606">
        <w:tc>
          <w:tcPr>
            <w:tcW w:w="0" w:type="auto"/>
            <w:tcBorders>
              <w:top w:val="nil"/>
              <w:left w:val="nil"/>
              <w:bottom w:val="nil"/>
              <w:right w:val="nil"/>
            </w:tcBorders>
            <w:shd w:val="clear" w:color="auto" w:fill="E6E5E5"/>
            <w:tcMar>
              <w:top w:w="180" w:type="dxa"/>
              <w:left w:w="180" w:type="dxa"/>
              <w:bottom w:w="180" w:type="dxa"/>
              <w:right w:w="180" w:type="dxa"/>
            </w:tcMar>
            <w:vAlign w:val="bottom"/>
            <w:hideMark/>
          </w:tcPr>
          <w:p w:rsidR="001F5606" w:rsidRPr="001F5606" w:rsidRDefault="001F5606" w:rsidP="001F5606">
            <w:pPr>
              <w:spacing w:after="0" w:line="240" w:lineRule="auto"/>
              <w:rPr>
                <w:rFonts w:ascii="Times New Roman" w:eastAsia="Times New Roman" w:hAnsi="Times New Roman" w:cs="Times New Roman"/>
                <w:sz w:val="24"/>
                <w:szCs w:val="24"/>
                <w:lang w:eastAsia="fr-FR"/>
              </w:rPr>
            </w:pPr>
            <w:r w:rsidRPr="001F5606">
              <w:rPr>
                <w:rFonts w:ascii="inherit" w:eastAsia="Times New Roman" w:hAnsi="inherit" w:cs="Times New Roman"/>
                <w:b/>
                <w:bCs/>
                <w:sz w:val="24"/>
                <w:szCs w:val="24"/>
                <w:bdr w:val="none" w:sz="0" w:space="0" w:color="auto" w:frame="1"/>
                <w:lang w:eastAsia="fr-FR"/>
              </w:rPr>
              <w:t>Voir notre article </w:t>
            </w:r>
            <w:hyperlink r:id="rId10" w:history="1">
              <w:r w:rsidRPr="001F5606">
                <w:rPr>
                  <w:rFonts w:ascii="inherit" w:eastAsia="Times New Roman" w:hAnsi="inherit" w:cs="Times New Roman"/>
                  <w:b/>
                  <w:bCs/>
                  <w:i/>
                  <w:iCs/>
                  <w:color w:val="1F95D9"/>
                  <w:sz w:val="24"/>
                  <w:szCs w:val="24"/>
                  <w:u w:val="single"/>
                  <w:bdr w:val="none" w:sz="0" w:space="0" w:color="auto" w:frame="1"/>
                  <w:lang w:eastAsia="fr-FR"/>
                </w:rPr>
                <w:t>« Louper »</w:t>
              </w:r>
              <w:r w:rsidRPr="001F5606">
                <w:rPr>
                  <w:rFonts w:ascii="inherit" w:eastAsia="Times New Roman" w:hAnsi="inherit" w:cs="Times New Roman"/>
                  <w:b/>
                  <w:bCs/>
                  <w:color w:val="1F95D9"/>
                  <w:sz w:val="24"/>
                  <w:szCs w:val="24"/>
                  <w:u w:val="single"/>
                  <w:bdr w:val="none" w:sz="0" w:space="0" w:color="auto" w:frame="1"/>
                  <w:lang w:eastAsia="fr-FR"/>
                </w:rPr>
                <w:t> un tir contrôlé pour un renouvellement d’autorisation.</w:t>
              </w:r>
            </w:hyperlink>
          </w:p>
        </w:tc>
      </w:tr>
    </w:tbl>
    <w:p w:rsidR="001F5606" w:rsidRPr="001F5606" w:rsidRDefault="001F5606" w:rsidP="001F5606">
      <w:pPr>
        <w:numPr>
          <w:ilvl w:val="0"/>
          <w:numId w:val="1"/>
        </w:numPr>
        <w:shd w:val="clear" w:color="auto" w:fill="FFFFFF"/>
        <w:spacing w:after="0" w:line="312" w:lineRule="atLeast"/>
        <w:ind w:left="750"/>
        <w:jc w:val="both"/>
        <w:textAlignment w:val="baseline"/>
        <w:rPr>
          <w:rFonts w:ascii="Arial" w:eastAsia="Times New Roman" w:hAnsi="Arial" w:cs="Arial"/>
          <w:color w:val="444444"/>
          <w:sz w:val="20"/>
          <w:szCs w:val="20"/>
          <w:lang w:eastAsia="fr-FR"/>
        </w:rPr>
      </w:pPr>
      <w:r w:rsidRPr="001F5606">
        <w:rPr>
          <w:rFonts w:ascii="inherit" w:eastAsia="Times New Roman" w:hAnsi="inherit" w:cs="Arial"/>
          <w:b/>
          <w:bCs/>
          <w:color w:val="444444"/>
          <w:sz w:val="20"/>
          <w:szCs w:val="20"/>
          <w:bdr w:val="none" w:sz="0" w:space="0" w:color="auto" w:frame="1"/>
          <w:lang w:eastAsia="fr-FR"/>
        </w:rPr>
        <w:t>C’est l’</w:t>
      </w:r>
      <w:proofErr w:type="spellStart"/>
      <w:r w:rsidRPr="001F5606">
        <w:rPr>
          <w:rFonts w:ascii="inherit" w:eastAsia="Times New Roman" w:hAnsi="inherit" w:cs="Arial"/>
          <w:b/>
          <w:bCs/>
          <w:color w:val="444444"/>
          <w:sz w:val="20"/>
          <w:szCs w:val="20"/>
          <w:bdr w:val="none" w:sz="0" w:space="0" w:color="auto" w:frame="1"/>
          <w:lang w:eastAsia="fr-FR"/>
        </w:rPr>
        <w:fldChar w:fldCharType="begin"/>
      </w:r>
      <w:r w:rsidRPr="001F5606">
        <w:rPr>
          <w:rFonts w:ascii="inherit" w:eastAsia="Times New Roman" w:hAnsi="inherit" w:cs="Arial"/>
          <w:b/>
          <w:bCs/>
          <w:color w:val="444444"/>
          <w:sz w:val="20"/>
          <w:szCs w:val="20"/>
          <w:bdr w:val="none" w:sz="0" w:space="0" w:color="auto" w:frame="1"/>
          <w:lang w:eastAsia="fr-FR"/>
        </w:rPr>
        <w:instrText xml:space="preserve"> HYPERLINK "https://www.legifrance.gouv.fr/affichCodeArticle.do;jsessionid=69565D580549EAEB14D889E82C759BF6.tplgfr28s_2?idArticle=LEGIARTI000034753776&amp;cidTexte=LEGITEXT000025503132&amp;categorieLien=id&amp;dateTexte=" </w:instrText>
      </w:r>
      <w:r w:rsidRPr="001F5606">
        <w:rPr>
          <w:rFonts w:ascii="inherit" w:eastAsia="Times New Roman" w:hAnsi="inherit" w:cs="Arial"/>
          <w:b/>
          <w:bCs/>
          <w:color w:val="444444"/>
          <w:sz w:val="20"/>
          <w:szCs w:val="20"/>
          <w:bdr w:val="none" w:sz="0" w:space="0" w:color="auto" w:frame="1"/>
          <w:lang w:eastAsia="fr-FR"/>
        </w:rPr>
        <w:fldChar w:fldCharType="separate"/>
      </w:r>
      <w:r w:rsidRPr="001F5606">
        <w:rPr>
          <w:rFonts w:ascii="inherit" w:eastAsia="Times New Roman" w:hAnsi="inherit" w:cs="Arial"/>
          <w:b/>
          <w:bCs/>
          <w:color w:val="1F95D9"/>
          <w:sz w:val="20"/>
          <w:szCs w:val="20"/>
          <w:u w:val="single"/>
          <w:bdr w:val="none" w:sz="0" w:space="0" w:color="auto" w:frame="1"/>
          <w:lang w:eastAsia="fr-FR"/>
        </w:rPr>
        <w:t>Art.R</w:t>
      </w:r>
      <w:proofErr w:type="spellEnd"/>
      <w:r w:rsidRPr="001F5606">
        <w:rPr>
          <w:rFonts w:ascii="inherit" w:eastAsia="Times New Roman" w:hAnsi="inherit" w:cs="Arial"/>
          <w:b/>
          <w:bCs/>
          <w:color w:val="1F95D9"/>
          <w:sz w:val="20"/>
          <w:szCs w:val="20"/>
          <w:u w:val="single"/>
          <w:bdr w:val="none" w:sz="0" w:space="0" w:color="auto" w:frame="1"/>
          <w:lang w:eastAsia="fr-FR"/>
        </w:rPr>
        <w:t xml:space="preserve"> 312-40 du Code de la Sécurité Intérieure</w:t>
      </w:r>
      <w:r w:rsidRPr="001F5606">
        <w:rPr>
          <w:rFonts w:ascii="inherit" w:eastAsia="Times New Roman" w:hAnsi="inherit" w:cs="Arial"/>
          <w:b/>
          <w:bCs/>
          <w:color w:val="444444"/>
          <w:sz w:val="20"/>
          <w:szCs w:val="20"/>
          <w:bdr w:val="none" w:sz="0" w:space="0" w:color="auto" w:frame="1"/>
          <w:lang w:eastAsia="fr-FR"/>
        </w:rPr>
        <w:fldChar w:fldCharType="end"/>
      </w:r>
      <w:r w:rsidRPr="001F5606">
        <w:rPr>
          <w:rFonts w:ascii="Arial" w:eastAsia="Times New Roman" w:hAnsi="Arial" w:cs="Arial"/>
          <w:color w:val="444444"/>
          <w:sz w:val="20"/>
          <w:szCs w:val="20"/>
          <w:lang w:eastAsia="fr-FR"/>
        </w:rPr>
        <w:t xml:space="preserve"> qui prévoit l’obligation d’un carnet de tir et des séances de tir </w:t>
      </w:r>
      <w:proofErr w:type="spellStart"/>
      <w:r w:rsidRPr="001F5606">
        <w:rPr>
          <w:rFonts w:ascii="Arial" w:eastAsia="Times New Roman" w:hAnsi="Arial" w:cs="Arial"/>
          <w:color w:val="444444"/>
          <w:sz w:val="20"/>
          <w:szCs w:val="20"/>
          <w:lang w:eastAsia="fr-FR"/>
        </w:rPr>
        <w:t>controlées</w:t>
      </w:r>
      <w:proofErr w:type="spellEnd"/>
    </w:p>
    <w:p w:rsidR="001F5606" w:rsidRPr="001F5606" w:rsidRDefault="001F5606" w:rsidP="001F5606">
      <w:pPr>
        <w:numPr>
          <w:ilvl w:val="0"/>
          <w:numId w:val="1"/>
        </w:numPr>
        <w:shd w:val="clear" w:color="auto" w:fill="FFFFFF"/>
        <w:spacing w:after="0" w:line="312" w:lineRule="atLeast"/>
        <w:ind w:left="750"/>
        <w:jc w:val="both"/>
        <w:textAlignment w:val="baseline"/>
        <w:rPr>
          <w:rFonts w:ascii="Arial" w:eastAsia="Times New Roman" w:hAnsi="Arial" w:cs="Arial"/>
          <w:color w:val="444444"/>
          <w:sz w:val="20"/>
          <w:szCs w:val="20"/>
          <w:lang w:eastAsia="fr-FR"/>
        </w:rPr>
      </w:pPr>
      <w:r w:rsidRPr="001F5606">
        <w:rPr>
          <w:rFonts w:ascii="inherit" w:eastAsia="Times New Roman" w:hAnsi="inherit" w:cs="Arial"/>
          <w:b/>
          <w:bCs/>
          <w:color w:val="444444"/>
          <w:sz w:val="20"/>
          <w:szCs w:val="20"/>
          <w:bdr w:val="none" w:sz="0" w:space="0" w:color="auto" w:frame="1"/>
          <w:lang w:eastAsia="fr-FR"/>
        </w:rPr>
        <w:t>C’est l’</w:t>
      </w:r>
      <w:proofErr w:type="spellStart"/>
      <w:r w:rsidRPr="001F5606">
        <w:rPr>
          <w:rFonts w:ascii="inherit" w:eastAsia="Times New Roman" w:hAnsi="inherit" w:cs="Arial"/>
          <w:b/>
          <w:bCs/>
          <w:color w:val="444444"/>
          <w:sz w:val="20"/>
          <w:szCs w:val="20"/>
          <w:bdr w:val="none" w:sz="0" w:space="0" w:color="auto" w:frame="1"/>
          <w:lang w:eastAsia="fr-FR"/>
        </w:rPr>
        <w:fldChar w:fldCharType="begin"/>
      </w:r>
      <w:r w:rsidRPr="001F5606">
        <w:rPr>
          <w:rFonts w:ascii="inherit" w:eastAsia="Times New Roman" w:hAnsi="inherit" w:cs="Arial"/>
          <w:b/>
          <w:bCs/>
          <w:color w:val="444444"/>
          <w:sz w:val="20"/>
          <w:szCs w:val="20"/>
          <w:bdr w:val="none" w:sz="0" w:space="0" w:color="auto" w:frame="1"/>
          <w:lang w:eastAsia="fr-FR"/>
        </w:rPr>
        <w:instrText xml:space="preserve"> HYPERLINK "https://www.legifrance.gouv.fr/affichCodeArticle.do?cidTexte=LEGITEXT000025503132&amp;idArticle=LEGIARTI000029655179" </w:instrText>
      </w:r>
      <w:r w:rsidRPr="001F5606">
        <w:rPr>
          <w:rFonts w:ascii="inherit" w:eastAsia="Times New Roman" w:hAnsi="inherit" w:cs="Arial"/>
          <w:b/>
          <w:bCs/>
          <w:color w:val="444444"/>
          <w:sz w:val="20"/>
          <w:szCs w:val="20"/>
          <w:bdr w:val="none" w:sz="0" w:space="0" w:color="auto" w:frame="1"/>
          <w:lang w:eastAsia="fr-FR"/>
        </w:rPr>
        <w:fldChar w:fldCharType="separate"/>
      </w:r>
      <w:r w:rsidRPr="001F5606">
        <w:rPr>
          <w:rFonts w:ascii="inherit" w:eastAsia="Times New Roman" w:hAnsi="inherit" w:cs="Arial"/>
          <w:b/>
          <w:bCs/>
          <w:color w:val="1F95D9"/>
          <w:sz w:val="20"/>
          <w:szCs w:val="20"/>
          <w:u w:val="single"/>
          <w:bdr w:val="none" w:sz="0" w:space="0" w:color="auto" w:frame="1"/>
          <w:lang w:eastAsia="fr-FR"/>
        </w:rPr>
        <w:t>Art.R</w:t>
      </w:r>
      <w:proofErr w:type="spellEnd"/>
      <w:r w:rsidRPr="001F5606">
        <w:rPr>
          <w:rFonts w:ascii="inherit" w:eastAsia="Times New Roman" w:hAnsi="inherit" w:cs="Arial"/>
          <w:b/>
          <w:bCs/>
          <w:color w:val="1F95D9"/>
          <w:sz w:val="20"/>
          <w:szCs w:val="20"/>
          <w:u w:val="single"/>
          <w:bdr w:val="none" w:sz="0" w:space="0" w:color="auto" w:frame="1"/>
          <w:lang w:eastAsia="fr-FR"/>
        </w:rPr>
        <w:t xml:space="preserve"> 312-43 du Code de la Sécurité Intérieure</w:t>
      </w:r>
      <w:r w:rsidRPr="001F5606">
        <w:rPr>
          <w:rFonts w:ascii="inherit" w:eastAsia="Times New Roman" w:hAnsi="inherit" w:cs="Arial"/>
          <w:b/>
          <w:bCs/>
          <w:color w:val="444444"/>
          <w:sz w:val="20"/>
          <w:szCs w:val="20"/>
          <w:bdr w:val="none" w:sz="0" w:space="0" w:color="auto" w:frame="1"/>
          <w:lang w:eastAsia="fr-FR"/>
        </w:rPr>
        <w:fldChar w:fldCharType="end"/>
      </w:r>
      <w:r w:rsidRPr="001F5606">
        <w:rPr>
          <w:rFonts w:ascii="Arial" w:eastAsia="Times New Roman" w:hAnsi="Arial" w:cs="Arial"/>
          <w:color w:val="444444"/>
          <w:sz w:val="20"/>
          <w:szCs w:val="20"/>
          <w:lang w:eastAsia="fr-FR"/>
        </w:rPr>
        <w:t> prévoit les modalités des séances dans l’année qui précède la demande.</w:t>
      </w:r>
    </w:p>
    <w:p w:rsidR="001F5606" w:rsidRPr="001F5606" w:rsidRDefault="001F5606" w:rsidP="001F5606">
      <w:pPr>
        <w:numPr>
          <w:ilvl w:val="0"/>
          <w:numId w:val="1"/>
        </w:numPr>
        <w:shd w:val="clear" w:color="auto" w:fill="FFFFFF"/>
        <w:spacing w:after="0" w:line="312" w:lineRule="atLeast"/>
        <w:ind w:left="750"/>
        <w:jc w:val="both"/>
        <w:textAlignment w:val="baseline"/>
        <w:rPr>
          <w:rFonts w:ascii="Arial" w:eastAsia="Times New Roman" w:hAnsi="Arial" w:cs="Arial"/>
          <w:color w:val="444444"/>
          <w:sz w:val="20"/>
          <w:szCs w:val="20"/>
          <w:lang w:eastAsia="fr-FR"/>
        </w:rPr>
      </w:pPr>
      <w:hyperlink r:id="rId11" w:history="1">
        <w:r w:rsidRPr="001F5606">
          <w:rPr>
            <w:rFonts w:ascii="inherit" w:eastAsia="Times New Roman" w:hAnsi="inherit" w:cs="Arial"/>
            <w:b/>
            <w:bCs/>
            <w:color w:val="1F95D9"/>
            <w:sz w:val="20"/>
            <w:szCs w:val="20"/>
            <w:u w:val="single"/>
            <w:bdr w:val="none" w:sz="0" w:space="0" w:color="auto" w:frame="1"/>
            <w:lang w:eastAsia="fr-FR"/>
          </w:rPr>
          <w:t>Arrêté du 16 décembre 1998 modifié</w:t>
        </w:r>
      </w:hyperlink>
      <w:r w:rsidRPr="001F5606">
        <w:rPr>
          <w:rFonts w:ascii="Arial" w:eastAsia="Times New Roman" w:hAnsi="Arial" w:cs="Arial"/>
          <w:color w:val="444444"/>
          <w:sz w:val="20"/>
          <w:szCs w:val="20"/>
          <w:lang w:eastAsia="fr-FR"/>
        </w:rPr>
        <w:t> prévoit les modalités des séances dans l’année qui précède la demande.</w:t>
      </w:r>
    </w:p>
    <w:p w:rsidR="001F5606" w:rsidRPr="001F5606" w:rsidRDefault="001F5606" w:rsidP="001F5606">
      <w:pPr>
        <w:numPr>
          <w:ilvl w:val="0"/>
          <w:numId w:val="1"/>
        </w:numPr>
        <w:shd w:val="clear" w:color="auto" w:fill="FFFFFF"/>
        <w:spacing w:after="0" w:line="312" w:lineRule="atLeast"/>
        <w:ind w:left="750"/>
        <w:jc w:val="both"/>
        <w:textAlignment w:val="baseline"/>
        <w:rPr>
          <w:rFonts w:ascii="Arial" w:eastAsia="Times New Roman" w:hAnsi="Arial" w:cs="Arial"/>
          <w:color w:val="444444"/>
          <w:sz w:val="20"/>
          <w:szCs w:val="20"/>
          <w:lang w:eastAsia="fr-FR"/>
        </w:rPr>
      </w:pPr>
      <w:r w:rsidRPr="001F5606">
        <w:rPr>
          <w:rFonts w:ascii="Arial" w:eastAsia="Times New Roman" w:hAnsi="Arial" w:cs="Arial"/>
          <w:color w:val="444444"/>
          <w:sz w:val="20"/>
          <w:szCs w:val="20"/>
          <w:lang w:eastAsia="fr-FR"/>
        </w:rPr>
        <w:t>La </w:t>
      </w:r>
      <w:proofErr w:type="spellStart"/>
      <w:r w:rsidRPr="001F5606">
        <w:rPr>
          <w:rFonts w:ascii="inherit" w:eastAsia="Times New Roman" w:hAnsi="inherit" w:cs="Arial"/>
          <w:b/>
          <w:bCs/>
          <w:color w:val="444444"/>
          <w:sz w:val="20"/>
          <w:szCs w:val="20"/>
          <w:bdr w:val="none" w:sz="0" w:space="0" w:color="auto" w:frame="1"/>
          <w:lang w:eastAsia="fr-FR"/>
        </w:rPr>
        <w:t>FFtir</w:t>
      </w:r>
      <w:proofErr w:type="spellEnd"/>
      <w:r w:rsidRPr="001F5606">
        <w:rPr>
          <w:rFonts w:ascii="inherit" w:eastAsia="Times New Roman" w:hAnsi="inherit" w:cs="Arial"/>
          <w:b/>
          <w:bCs/>
          <w:color w:val="444444"/>
          <w:sz w:val="20"/>
          <w:szCs w:val="20"/>
          <w:bdr w:val="none" w:sz="0" w:space="0" w:color="auto" w:frame="1"/>
          <w:lang w:eastAsia="fr-FR"/>
        </w:rPr>
        <w:t xml:space="preserve"> en explique</w:t>
      </w:r>
      <w:r w:rsidRPr="001F5606">
        <w:rPr>
          <w:rFonts w:ascii="Arial" w:eastAsia="Times New Roman" w:hAnsi="Arial" w:cs="Arial"/>
          <w:color w:val="444444"/>
          <w:sz w:val="20"/>
          <w:szCs w:val="20"/>
          <w:lang w:eastAsia="fr-FR"/>
        </w:rPr>
        <w:t> les </w:t>
      </w:r>
      <w:hyperlink r:id="rId12" w:history="1">
        <w:r w:rsidRPr="001F5606">
          <w:rPr>
            <w:rFonts w:ascii="Arial" w:eastAsia="Times New Roman" w:hAnsi="Arial" w:cs="Arial"/>
            <w:color w:val="1F95D9"/>
            <w:sz w:val="20"/>
            <w:szCs w:val="20"/>
            <w:u w:val="single"/>
            <w:bdr w:val="none" w:sz="0" w:space="0" w:color="auto" w:frame="1"/>
            <w:lang w:eastAsia="fr-FR"/>
          </w:rPr>
          <w:t>conditions pratiques</w:t>
        </w:r>
      </w:hyperlink>
      <w:r w:rsidRPr="001F5606">
        <w:rPr>
          <w:rFonts w:ascii="Arial" w:eastAsia="Times New Roman" w:hAnsi="Arial" w:cs="Arial"/>
          <w:color w:val="444444"/>
          <w:sz w:val="20"/>
          <w:szCs w:val="20"/>
          <w:lang w:eastAsia="fr-FR"/>
        </w:rPr>
        <w:t> des trois tirs contrôlés. Ainsi que son </w:t>
      </w:r>
      <w:hyperlink r:id="rId13" w:history="1">
        <w:r w:rsidRPr="001F5606">
          <w:rPr>
            <w:rFonts w:ascii="Arial" w:eastAsia="Times New Roman" w:hAnsi="Arial" w:cs="Arial"/>
            <w:color w:val="1F95D9"/>
            <w:sz w:val="20"/>
            <w:szCs w:val="20"/>
            <w:u w:val="single"/>
            <w:bdr w:val="none" w:sz="0" w:space="0" w:color="auto" w:frame="1"/>
            <w:lang w:eastAsia="fr-FR"/>
          </w:rPr>
          <w:t>aspect.</w:t>
        </w:r>
      </w:hyperlink>
    </w:p>
    <w:p w:rsidR="001F5606" w:rsidRDefault="001F5606" w:rsidP="001F5606">
      <w:pPr>
        <w:numPr>
          <w:ilvl w:val="0"/>
          <w:numId w:val="1"/>
        </w:numPr>
        <w:shd w:val="clear" w:color="auto" w:fill="FFFFFF"/>
        <w:spacing w:after="0" w:line="312" w:lineRule="atLeast"/>
        <w:ind w:left="750"/>
        <w:jc w:val="both"/>
        <w:textAlignment w:val="baseline"/>
        <w:rPr>
          <w:rFonts w:ascii="Arial" w:eastAsia="Times New Roman" w:hAnsi="Arial" w:cs="Arial"/>
          <w:color w:val="444444"/>
          <w:sz w:val="20"/>
          <w:szCs w:val="20"/>
          <w:lang w:eastAsia="fr-FR"/>
        </w:rPr>
      </w:pPr>
      <w:r w:rsidRPr="001F5606">
        <w:rPr>
          <w:rFonts w:ascii="inherit" w:eastAsia="Times New Roman" w:hAnsi="inherit" w:cs="Arial"/>
          <w:b/>
          <w:bCs/>
          <w:color w:val="444444"/>
          <w:sz w:val="20"/>
          <w:szCs w:val="20"/>
          <w:bdr w:val="none" w:sz="0" w:space="0" w:color="auto" w:frame="1"/>
          <w:lang w:eastAsia="fr-FR"/>
        </w:rPr>
        <w:t xml:space="preserve">La </w:t>
      </w:r>
      <w:proofErr w:type="spellStart"/>
      <w:r w:rsidRPr="001F5606">
        <w:rPr>
          <w:rFonts w:ascii="inherit" w:eastAsia="Times New Roman" w:hAnsi="inherit" w:cs="Arial"/>
          <w:b/>
          <w:bCs/>
          <w:color w:val="444444"/>
          <w:sz w:val="20"/>
          <w:szCs w:val="20"/>
          <w:bdr w:val="none" w:sz="0" w:space="0" w:color="auto" w:frame="1"/>
          <w:lang w:eastAsia="fr-FR"/>
        </w:rPr>
        <w:t>FFTir</w:t>
      </w:r>
      <w:proofErr w:type="spellEnd"/>
      <w:r w:rsidRPr="001F5606">
        <w:rPr>
          <w:rFonts w:ascii="inherit" w:eastAsia="Times New Roman" w:hAnsi="inherit" w:cs="Arial"/>
          <w:b/>
          <w:bCs/>
          <w:color w:val="444444"/>
          <w:sz w:val="20"/>
          <w:szCs w:val="20"/>
          <w:bdr w:val="none" w:sz="0" w:space="0" w:color="auto" w:frame="1"/>
          <w:lang w:eastAsia="fr-FR"/>
        </w:rPr>
        <w:t xml:space="preserve"> s’</w:t>
      </w:r>
      <w:proofErr w:type="spellStart"/>
      <w:r w:rsidRPr="001F5606">
        <w:rPr>
          <w:rFonts w:ascii="inherit" w:eastAsia="Times New Roman" w:hAnsi="inherit" w:cs="Arial"/>
          <w:b/>
          <w:bCs/>
          <w:color w:val="444444"/>
          <w:sz w:val="20"/>
          <w:szCs w:val="20"/>
          <w:bdr w:val="none" w:sz="0" w:space="0" w:color="auto" w:frame="1"/>
          <w:lang w:eastAsia="fr-FR"/>
        </w:rPr>
        <w:t>entour</w:t>
      </w:r>
      <w:proofErr w:type="spellEnd"/>
      <w:r w:rsidRPr="001F5606">
        <w:rPr>
          <w:rFonts w:ascii="inherit" w:eastAsia="Times New Roman" w:hAnsi="inherit" w:cs="Arial"/>
          <w:b/>
          <w:bCs/>
          <w:color w:val="444444"/>
          <w:sz w:val="20"/>
          <w:szCs w:val="20"/>
          <w:bdr w:val="none" w:sz="0" w:space="0" w:color="auto" w:frame="1"/>
          <w:lang w:eastAsia="fr-FR"/>
        </w:rPr>
        <w:t xml:space="preserve"> de </w:t>
      </w:r>
      <w:hyperlink r:id="rId14" w:history="1">
        <w:r w:rsidRPr="001F5606">
          <w:rPr>
            <w:rFonts w:ascii="inherit" w:eastAsia="Times New Roman" w:hAnsi="inherit" w:cs="Arial"/>
            <w:b/>
            <w:bCs/>
            <w:color w:val="1F95D9"/>
            <w:sz w:val="20"/>
            <w:szCs w:val="20"/>
            <w:u w:val="single"/>
            <w:bdr w:val="none" w:sz="0" w:space="0" w:color="auto" w:frame="1"/>
            <w:lang w:eastAsia="fr-FR"/>
          </w:rPr>
          <w:t>formateurs bénévoles</w:t>
        </w:r>
      </w:hyperlink>
      <w:r w:rsidRPr="001F5606">
        <w:rPr>
          <w:rFonts w:ascii="Arial" w:eastAsia="Times New Roman" w:hAnsi="Arial" w:cs="Arial"/>
          <w:color w:val="444444"/>
          <w:sz w:val="20"/>
          <w:szCs w:val="20"/>
          <w:lang w:eastAsia="fr-FR"/>
        </w:rPr>
        <w:t xml:space="preserve"> dont elle assure leur propre </w:t>
      </w:r>
      <w:proofErr w:type="gramStart"/>
      <w:r w:rsidRPr="001F5606">
        <w:rPr>
          <w:rFonts w:ascii="Arial" w:eastAsia="Times New Roman" w:hAnsi="Arial" w:cs="Arial"/>
          <w:color w:val="444444"/>
          <w:sz w:val="20"/>
          <w:szCs w:val="20"/>
          <w:lang w:eastAsia="fr-FR"/>
        </w:rPr>
        <w:t>formation.|</w:t>
      </w:r>
      <w:proofErr w:type="gramEnd"/>
    </w:p>
    <w:p w:rsidR="00D35EA1" w:rsidRDefault="00D35EA1" w:rsidP="00D35EA1">
      <w:pPr>
        <w:shd w:val="clear" w:color="auto" w:fill="FFFFFF"/>
        <w:spacing w:after="0" w:line="312" w:lineRule="atLeast"/>
        <w:jc w:val="both"/>
        <w:textAlignment w:val="baseline"/>
        <w:rPr>
          <w:rFonts w:ascii="Arial" w:eastAsia="Times New Roman" w:hAnsi="Arial" w:cs="Arial"/>
          <w:color w:val="444444"/>
          <w:sz w:val="20"/>
          <w:szCs w:val="20"/>
          <w:lang w:eastAsia="fr-FR"/>
        </w:rPr>
      </w:pPr>
    </w:p>
    <w:p w:rsidR="00D35EA1" w:rsidRDefault="00D35EA1" w:rsidP="00D35EA1">
      <w:pPr>
        <w:shd w:val="clear" w:color="auto" w:fill="FFFFFF"/>
        <w:spacing w:after="0" w:line="312" w:lineRule="atLeast"/>
        <w:jc w:val="both"/>
        <w:textAlignment w:val="baseline"/>
        <w:rPr>
          <w:rFonts w:ascii="Arial" w:eastAsia="Times New Roman" w:hAnsi="Arial" w:cs="Arial"/>
          <w:color w:val="444444"/>
          <w:sz w:val="20"/>
          <w:szCs w:val="20"/>
          <w:lang w:eastAsia="fr-FR"/>
        </w:rPr>
      </w:pPr>
    </w:p>
    <w:p w:rsidR="00D35EA1" w:rsidRPr="001F5606" w:rsidRDefault="00D35EA1" w:rsidP="00D35EA1">
      <w:pPr>
        <w:shd w:val="clear" w:color="auto" w:fill="FFFFFF"/>
        <w:spacing w:after="0" w:line="312" w:lineRule="atLeast"/>
        <w:jc w:val="both"/>
        <w:textAlignment w:val="baseline"/>
        <w:rPr>
          <w:rFonts w:ascii="Arial" w:eastAsia="Times New Roman" w:hAnsi="Arial" w:cs="Arial"/>
          <w:color w:val="444444"/>
          <w:sz w:val="20"/>
          <w:szCs w:val="20"/>
          <w:lang w:eastAsia="fr-FR"/>
        </w:rPr>
      </w:pPr>
      <w:bookmarkStart w:id="0" w:name="_GoBack"/>
      <w:bookmarkEnd w:id="0"/>
    </w:p>
    <w:tbl>
      <w:tblPr>
        <w:tblW w:w="0" w:type="auto"/>
        <w:tblInd w:w="-1276" w:type="dxa"/>
        <w:tblCellMar>
          <w:left w:w="0" w:type="dxa"/>
          <w:right w:w="0" w:type="dxa"/>
        </w:tblCellMar>
        <w:tblLook w:val="04A0" w:firstRow="1" w:lastRow="0" w:firstColumn="1" w:lastColumn="0" w:noHBand="0" w:noVBand="1"/>
      </w:tblPr>
      <w:tblGrid>
        <w:gridCol w:w="10348"/>
      </w:tblGrid>
      <w:tr w:rsidR="001F5606" w:rsidRPr="001F5606" w:rsidTr="00D35EA1">
        <w:tc>
          <w:tcPr>
            <w:tcW w:w="0" w:type="auto"/>
            <w:tcBorders>
              <w:top w:val="nil"/>
              <w:left w:val="nil"/>
              <w:bottom w:val="nil"/>
              <w:right w:val="nil"/>
            </w:tcBorders>
            <w:shd w:val="clear" w:color="auto" w:fill="E6E5E5"/>
            <w:tcMar>
              <w:top w:w="180" w:type="dxa"/>
              <w:left w:w="180" w:type="dxa"/>
              <w:bottom w:w="180" w:type="dxa"/>
              <w:right w:w="180" w:type="dxa"/>
            </w:tcMar>
            <w:vAlign w:val="bottom"/>
            <w:hideMark/>
          </w:tcPr>
          <w:p w:rsidR="001F5606" w:rsidRPr="001F5606" w:rsidRDefault="001F5606" w:rsidP="001F5606">
            <w:pPr>
              <w:spacing w:after="240" w:line="240" w:lineRule="auto"/>
              <w:rPr>
                <w:rFonts w:ascii="Times New Roman" w:eastAsia="Times New Roman" w:hAnsi="Times New Roman" w:cs="Times New Roman"/>
                <w:sz w:val="24"/>
                <w:szCs w:val="24"/>
                <w:lang w:eastAsia="fr-FR"/>
              </w:rPr>
            </w:pPr>
            <w:r w:rsidRPr="001F5606">
              <w:rPr>
                <w:rFonts w:ascii="inherit" w:eastAsia="Times New Roman" w:hAnsi="inherit" w:cs="Times New Roman"/>
                <w:b/>
                <w:bCs/>
                <w:sz w:val="24"/>
                <w:szCs w:val="24"/>
                <w:bdr w:val="none" w:sz="0" w:space="0" w:color="auto" w:frame="1"/>
                <w:lang w:eastAsia="fr-FR"/>
              </w:rPr>
              <w:lastRenderedPageBreak/>
              <w:t>Extraits de </w:t>
            </w:r>
            <w:hyperlink r:id="rId15" w:history="1">
              <w:r w:rsidRPr="001F5606">
                <w:rPr>
                  <w:rFonts w:ascii="inherit" w:eastAsia="Times New Roman" w:hAnsi="inherit" w:cs="Times New Roman"/>
                  <w:b/>
                  <w:bCs/>
                  <w:color w:val="1F95D9"/>
                  <w:sz w:val="24"/>
                  <w:szCs w:val="24"/>
                  <w:u w:val="single"/>
                  <w:bdr w:val="none" w:sz="0" w:space="0" w:color="auto" w:frame="1"/>
                  <w:lang w:eastAsia="fr-FR"/>
                </w:rPr>
                <w:t>l’arrêté du 16 décembre 1998</w:t>
              </w:r>
            </w:hyperlink>
            <w:r w:rsidRPr="001F5606">
              <w:rPr>
                <w:rFonts w:ascii="Times New Roman" w:eastAsia="Times New Roman" w:hAnsi="Times New Roman" w:cs="Times New Roman"/>
                <w:sz w:val="24"/>
                <w:szCs w:val="24"/>
                <w:lang w:eastAsia="fr-FR"/>
              </w:rPr>
              <w:t>.</w:t>
            </w:r>
          </w:p>
          <w:p w:rsidR="001F5606" w:rsidRPr="001F5606" w:rsidRDefault="001F5606" w:rsidP="001F5606">
            <w:pPr>
              <w:numPr>
                <w:ilvl w:val="0"/>
                <w:numId w:val="2"/>
              </w:numPr>
              <w:spacing w:after="0" w:line="240" w:lineRule="auto"/>
              <w:ind w:left="0"/>
              <w:textAlignment w:val="baseline"/>
              <w:rPr>
                <w:rFonts w:ascii="Times New Roman" w:eastAsia="Times New Roman" w:hAnsi="Times New Roman" w:cs="Times New Roman"/>
                <w:sz w:val="24"/>
                <w:szCs w:val="24"/>
                <w:lang w:eastAsia="fr-FR"/>
              </w:rPr>
            </w:pPr>
            <w:r w:rsidRPr="001F5606">
              <w:rPr>
                <w:rFonts w:ascii="inherit" w:eastAsia="Times New Roman" w:hAnsi="inherit" w:cs="Times New Roman"/>
                <w:b/>
                <w:bCs/>
                <w:sz w:val="24"/>
                <w:szCs w:val="24"/>
                <w:bdr w:val="none" w:sz="0" w:space="0" w:color="auto" w:frame="1"/>
                <w:lang w:eastAsia="fr-FR"/>
              </w:rPr>
              <w:t>Article 1 </w:t>
            </w:r>
            <w:r w:rsidRPr="001F5606">
              <w:rPr>
                <w:rFonts w:ascii="inherit" w:eastAsia="Times New Roman" w:hAnsi="inherit" w:cs="Times New Roman"/>
                <w:i/>
                <w:iCs/>
                <w:sz w:val="24"/>
                <w:szCs w:val="24"/>
                <w:bdr w:val="none" w:sz="0" w:space="0" w:color="auto" w:frame="1"/>
                <w:lang w:eastAsia="fr-FR"/>
              </w:rPr>
              <w:t>La séance contrôlée de pratique du tir [...—] et la formation initiale aux règles de sécurité, de stockage et de manipulation des armes [...] sont effectuées au sein d’une association sportive agréée pour la pratique du tir, [...]</w:t>
            </w:r>
            <w:r w:rsidRPr="001F5606">
              <w:rPr>
                <w:rFonts w:ascii="inherit" w:eastAsia="Times New Roman" w:hAnsi="inherit" w:cs="Times New Roman"/>
                <w:i/>
                <w:iCs/>
                <w:sz w:val="24"/>
                <w:szCs w:val="24"/>
                <w:bdr w:val="none" w:sz="0" w:space="0" w:color="auto" w:frame="1"/>
                <w:lang w:eastAsia="fr-FR"/>
              </w:rPr>
              <w:br/>
              <w:t>Le président de l’association sportive agréée ou une personne désignée par lui est chargé de contrôler la séance de pratique du tir ou d’assurer la formation initiale susmentionnées.</w:t>
            </w:r>
          </w:p>
          <w:p w:rsidR="001F5606" w:rsidRPr="001F5606" w:rsidRDefault="001F5606" w:rsidP="001F5606">
            <w:pPr>
              <w:numPr>
                <w:ilvl w:val="0"/>
                <w:numId w:val="2"/>
              </w:numPr>
              <w:spacing w:after="0" w:line="240" w:lineRule="auto"/>
              <w:ind w:left="0"/>
              <w:textAlignment w:val="baseline"/>
              <w:rPr>
                <w:rFonts w:ascii="Times New Roman" w:eastAsia="Times New Roman" w:hAnsi="Times New Roman" w:cs="Times New Roman"/>
                <w:sz w:val="24"/>
                <w:szCs w:val="24"/>
                <w:lang w:eastAsia="fr-FR"/>
              </w:rPr>
            </w:pPr>
            <w:r w:rsidRPr="001F5606">
              <w:rPr>
                <w:rFonts w:ascii="inherit" w:eastAsia="Times New Roman" w:hAnsi="inherit" w:cs="Times New Roman"/>
                <w:b/>
                <w:bCs/>
                <w:sz w:val="24"/>
                <w:szCs w:val="24"/>
                <w:bdr w:val="none" w:sz="0" w:space="0" w:color="auto" w:frame="1"/>
                <w:lang w:eastAsia="fr-FR"/>
              </w:rPr>
              <w:t>Article 2</w:t>
            </w:r>
            <w:r w:rsidRPr="001F5606">
              <w:rPr>
                <w:rFonts w:ascii="inherit" w:eastAsia="Times New Roman" w:hAnsi="inherit" w:cs="Times New Roman"/>
                <w:i/>
                <w:iCs/>
                <w:sz w:val="24"/>
                <w:szCs w:val="24"/>
                <w:bdr w:val="none" w:sz="0" w:space="0" w:color="auto" w:frame="1"/>
                <w:lang w:eastAsia="fr-FR"/>
              </w:rPr>
              <w:t> [...] chaque membre d’une association agréée pour la pratique du tir, détenteur d’une arme ou plus, soumise à autorisation, doit au cours des douze mois précédant sa demande initiale ou de renouvellement d’autorisation d’acquisition et de détention d’arme, participer à trois séances contrôlées de pratique du tir au moins, espacées d’au moins deux mois.</w:t>
            </w:r>
            <w:r w:rsidRPr="001F5606">
              <w:rPr>
                <w:rFonts w:ascii="inherit" w:eastAsia="Times New Roman" w:hAnsi="inherit" w:cs="Times New Roman"/>
                <w:i/>
                <w:iCs/>
                <w:sz w:val="24"/>
                <w:szCs w:val="24"/>
                <w:bdr w:val="none" w:sz="0" w:space="0" w:color="auto" w:frame="1"/>
                <w:lang w:eastAsia="fr-FR"/>
              </w:rPr>
              <w:br/>
              <w:t>L’arme utilisée lors de la séance présente les mêmes caractéristiques que la ou les armes détenues.</w:t>
            </w:r>
          </w:p>
          <w:p w:rsidR="001F5606" w:rsidRPr="001F5606" w:rsidRDefault="001F5606" w:rsidP="001F5606">
            <w:pPr>
              <w:numPr>
                <w:ilvl w:val="0"/>
                <w:numId w:val="2"/>
              </w:numPr>
              <w:spacing w:after="0" w:line="240" w:lineRule="auto"/>
              <w:ind w:left="0"/>
              <w:textAlignment w:val="baseline"/>
              <w:rPr>
                <w:rFonts w:ascii="Times New Roman" w:eastAsia="Times New Roman" w:hAnsi="Times New Roman" w:cs="Times New Roman"/>
                <w:sz w:val="24"/>
                <w:szCs w:val="24"/>
                <w:lang w:eastAsia="fr-FR"/>
              </w:rPr>
            </w:pPr>
            <w:r w:rsidRPr="001F5606">
              <w:rPr>
                <w:rFonts w:ascii="inherit" w:eastAsia="Times New Roman" w:hAnsi="inherit" w:cs="Times New Roman"/>
                <w:b/>
                <w:bCs/>
                <w:sz w:val="24"/>
                <w:szCs w:val="24"/>
                <w:bdr w:val="none" w:sz="0" w:space="0" w:color="auto" w:frame="1"/>
                <w:lang w:eastAsia="fr-FR"/>
              </w:rPr>
              <w:t>Article 3 </w:t>
            </w:r>
            <w:r w:rsidRPr="001F5606">
              <w:rPr>
                <w:rFonts w:ascii="Times New Roman" w:eastAsia="Times New Roman" w:hAnsi="Times New Roman" w:cs="Times New Roman"/>
                <w:sz w:val="24"/>
                <w:szCs w:val="24"/>
                <w:lang w:eastAsia="fr-FR"/>
              </w:rPr>
              <w:t>[...] il en résulte :</w:t>
            </w:r>
          </w:p>
          <w:p w:rsidR="001F5606" w:rsidRPr="001F5606" w:rsidRDefault="001F5606" w:rsidP="001F5606">
            <w:pPr>
              <w:numPr>
                <w:ilvl w:val="1"/>
                <w:numId w:val="2"/>
              </w:numPr>
              <w:spacing w:after="0" w:line="240" w:lineRule="auto"/>
              <w:ind w:left="0"/>
              <w:textAlignment w:val="baseline"/>
              <w:rPr>
                <w:rFonts w:ascii="inherit" w:eastAsia="Times New Roman" w:hAnsi="inherit" w:cs="Times New Roman"/>
                <w:i/>
                <w:iCs/>
                <w:sz w:val="24"/>
                <w:szCs w:val="24"/>
                <w:bdr w:val="none" w:sz="0" w:space="0" w:color="auto" w:frame="1"/>
                <w:lang w:eastAsia="fr-FR"/>
              </w:rPr>
            </w:pPr>
            <w:proofErr w:type="gramStart"/>
            <w:r w:rsidRPr="001F5606">
              <w:rPr>
                <w:rFonts w:ascii="inherit" w:eastAsia="Times New Roman" w:hAnsi="inherit" w:cs="Times New Roman"/>
                <w:i/>
                <w:iCs/>
                <w:sz w:val="24"/>
                <w:szCs w:val="24"/>
                <w:bdr w:val="none" w:sz="0" w:space="0" w:color="auto" w:frame="1"/>
                <w:lang w:eastAsia="fr-FR"/>
              </w:rPr>
              <w:t>d’une</w:t>
            </w:r>
            <w:proofErr w:type="gramEnd"/>
            <w:r w:rsidRPr="001F5606">
              <w:rPr>
                <w:rFonts w:ascii="inherit" w:eastAsia="Times New Roman" w:hAnsi="inherit" w:cs="Times New Roman"/>
                <w:i/>
                <w:iCs/>
                <w:sz w:val="24"/>
                <w:szCs w:val="24"/>
                <w:bdr w:val="none" w:sz="0" w:space="0" w:color="auto" w:frame="1"/>
                <w:lang w:eastAsia="fr-FR"/>
              </w:rPr>
              <w:t xml:space="preserve"> mention portée sur le carnet de tir [...] ;</w:t>
            </w:r>
          </w:p>
          <w:p w:rsidR="001F5606" w:rsidRPr="001F5606" w:rsidRDefault="001F5606" w:rsidP="001F5606">
            <w:pPr>
              <w:numPr>
                <w:ilvl w:val="1"/>
                <w:numId w:val="2"/>
              </w:numPr>
              <w:spacing w:after="0" w:line="240" w:lineRule="auto"/>
              <w:ind w:left="0"/>
              <w:textAlignment w:val="baseline"/>
              <w:rPr>
                <w:rFonts w:ascii="Times New Roman" w:eastAsia="Times New Roman" w:hAnsi="Times New Roman" w:cs="Times New Roman"/>
                <w:sz w:val="24"/>
                <w:szCs w:val="24"/>
                <w:lang w:eastAsia="fr-FR"/>
              </w:rPr>
            </w:pPr>
            <w:proofErr w:type="gramStart"/>
            <w:r w:rsidRPr="001F5606">
              <w:rPr>
                <w:rFonts w:ascii="inherit" w:eastAsia="Times New Roman" w:hAnsi="inherit" w:cs="Times New Roman"/>
                <w:i/>
                <w:iCs/>
                <w:sz w:val="24"/>
                <w:szCs w:val="24"/>
                <w:bdr w:val="none" w:sz="0" w:space="0" w:color="auto" w:frame="1"/>
                <w:lang w:eastAsia="fr-FR"/>
              </w:rPr>
              <w:t>ou</w:t>
            </w:r>
            <w:proofErr w:type="gramEnd"/>
            <w:r w:rsidRPr="001F5606">
              <w:rPr>
                <w:rFonts w:ascii="inherit" w:eastAsia="Times New Roman" w:hAnsi="inherit" w:cs="Times New Roman"/>
                <w:i/>
                <w:iCs/>
                <w:sz w:val="24"/>
                <w:szCs w:val="24"/>
                <w:bdr w:val="none" w:sz="0" w:space="0" w:color="auto" w:frame="1"/>
                <w:lang w:eastAsia="fr-FR"/>
              </w:rPr>
              <w:t xml:space="preserve"> d’une attestation de suivi de la formation initiale aux règles de sécurité, stockage et de manipulation [...].</w:t>
            </w:r>
            <w:r w:rsidRPr="001F5606">
              <w:rPr>
                <w:rFonts w:ascii="inherit" w:eastAsia="Times New Roman" w:hAnsi="inherit" w:cs="Times New Roman"/>
                <w:i/>
                <w:iCs/>
                <w:sz w:val="24"/>
                <w:szCs w:val="24"/>
                <w:bdr w:val="none" w:sz="0" w:space="0" w:color="auto" w:frame="1"/>
                <w:lang w:eastAsia="fr-FR"/>
              </w:rPr>
              <w:br/>
              <w:t>La mention portée sur le carnet de tir vaut attestation de suivi de la formation susmentionnée.</w:t>
            </w:r>
            <w:r w:rsidRPr="001F5606">
              <w:rPr>
                <w:rFonts w:ascii="inherit" w:eastAsia="Times New Roman" w:hAnsi="inherit" w:cs="Times New Roman"/>
                <w:i/>
                <w:iCs/>
                <w:sz w:val="24"/>
                <w:szCs w:val="24"/>
                <w:bdr w:val="none" w:sz="0" w:space="0" w:color="auto" w:frame="1"/>
                <w:lang w:eastAsia="fr-FR"/>
              </w:rPr>
              <w:br/>
              <w:t>Les noms et coordonnées de l’association sportive agréée sont reportés sur ces documents.</w:t>
            </w:r>
          </w:p>
        </w:tc>
      </w:tr>
    </w:tbl>
    <w:p w:rsidR="001F5606" w:rsidRPr="001F5606" w:rsidRDefault="001F5606" w:rsidP="001F5606">
      <w:pPr>
        <w:shd w:val="clear" w:color="auto" w:fill="FFFFFF"/>
        <w:spacing w:after="360" w:line="312" w:lineRule="atLeast"/>
        <w:jc w:val="both"/>
        <w:textAlignment w:val="baseline"/>
        <w:rPr>
          <w:rFonts w:ascii="Arial" w:eastAsia="Times New Roman" w:hAnsi="Arial" w:cs="Arial"/>
          <w:color w:val="444444"/>
          <w:sz w:val="20"/>
          <w:szCs w:val="20"/>
          <w:lang w:eastAsia="fr-FR"/>
        </w:rPr>
      </w:pPr>
      <w:r w:rsidRPr="001F5606">
        <w:rPr>
          <w:rFonts w:ascii="Arial" w:eastAsia="Times New Roman" w:hAnsi="Arial" w:cs="Arial"/>
          <w:color w:val="444444"/>
          <w:sz w:val="20"/>
          <w:szCs w:val="20"/>
          <w:lang w:eastAsia="fr-FR"/>
        </w:rPr>
        <w:t>Il n’est pas nécessaire d’avoir avec soi la copie de l’autorisation de détention lors du transport, mais cette copie sera demandée lors des tirs contrôlés pour s’assurer que l’arme est détenue légalement.</w:t>
      </w:r>
    </w:p>
    <w:p w:rsidR="00A23EF6" w:rsidRDefault="00A23EF6" w:rsidP="001F5606">
      <w:pPr>
        <w:ind w:left="-851" w:right="-993"/>
      </w:pPr>
    </w:p>
    <w:sectPr w:rsidR="00A23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0A4"/>
    <w:multiLevelType w:val="multilevel"/>
    <w:tmpl w:val="CF545C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5535A"/>
    <w:multiLevelType w:val="multilevel"/>
    <w:tmpl w:val="DBA6F8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06"/>
    <w:rsid w:val="001F5606"/>
    <w:rsid w:val="00A23EF6"/>
    <w:rsid w:val="00D35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F277"/>
  <w15:chartTrackingRefBased/>
  <w15:docId w15:val="{4266DC21-5534-4177-9433-C961F9E9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56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5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727819">
      <w:bodyDiv w:val="1"/>
      <w:marLeft w:val="0"/>
      <w:marRight w:val="0"/>
      <w:marTop w:val="0"/>
      <w:marBottom w:val="0"/>
      <w:divBdr>
        <w:top w:val="none" w:sz="0" w:space="0" w:color="auto"/>
        <w:left w:val="none" w:sz="0" w:space="0" w:color="auto"/>
        <w:bottom w:val="none" w:sz="0" w:space="0" w:color="auto"/>
        <w:right w:val="none" w:sz="0" w:space="0" w:color="auto"/>
      </w:divBdr>
      <w:divsChild>
        <w:div w:id="1687441298">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fftir.org/fr/les_seances_controlees_pratique_du_ti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fftir.org/fr/reglementation_en_vigueur_et_legislation_sur_les_arm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legifrance.gouv.fr/affichTexte.do?cidTexte=JORFTEXT000000558312&amp;dateTexte=20181013" TargetMode="External"/><Relationship Id="rId5" Type="http://schemas.openxmlformats.org/officeDocument/2006/relationships/hyperlink" Target="https://www.armes-ufa.com/spip.php?auteur3" TargetMode="External"/><Relationship Id="rId15" Type="http://schemas.openxmlformats.org/officeDocument/2006/relationships/hyperlink" Target="https://www.legifrance.gouv.fr/affichTexte.do?cidTexte=JORFTEXT000000558312&amp;dateTexte=20181013" TargetMode="External"/><Relationship Id="rId10" Type="http://schemas.openxmlformats.org/officeDocument/2006/relationships/hyperlink" Target="https://www.armes-ufa.com/spip.php?article2227" TargetMode="External"/><Relationship Id="rId4" Type="http://schemas.openxmlformats.org/officeDocument/2006/relationships/webSettings" Target="webSettings.xml"/><Relationship Id="rId9" Type="http://schemas.openxmlformats.org/officeDocument/2006/relationships/hyperlink" Target="http://www.sports.gouv.fr/IMG/pdf/8_-_fftir_homologation_des_stands.pdf" TargetMode="External"/><Relationship Id="rId14" Type="http://schemas.openxmlformats.org/officeDocument/2006/relationships/hyperlink" Target="http://www.fftir.org/fr/devenir_formateur_benevo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4179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dc:creator>
  <cp:keywords/>
  <dc:description/>
  <cp:lastModifiedBy>thierry</cp:lastModifiedBy>
  <cp:revision>2</cp:revision>
  <dcterms:created xsi:type="dcterms:W3CDTF">2019-07-29T08:57:00Z</dcterms:created>
  <dcterms:modified xsi:type="dcterms:W3CDTF">2019-07-29T08:57:00Z</dcterms:modified>
</cp:coreProperties>
</file>